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B752D" w14:textId="1BFE0A6C" w:rsidR="00E90E49" w:rsidRPr="00F309F7" w:rsidRDefault="00E90E49" w:rsidP="00E35559">
      <w:pPr>
        <w:pStyle w:val="3GPPHeader"/>
        <w:spacing w:after="60"/>
        <w:rPr>
          <w:sz w:val="28"/>
          <w:szCs w:val="32"/>
          <w:highlight w:val="yellow"/>
        </w:rPr>
      </w:pPr>
      <w:r w:rsidRPr="00CE0424">
        <w:t>3GPP TSG-RAN WG</w:t>
      </w:r>
      <w:r w:rsidR="00F20F5C">
        <w:t>2</w:t>
      </w:r>
      <w:r w:rsidRPr="00CE0424">
        <w:t xml:space="preserve"> #</w:t>
      </w:r>
      <w:r w:rsidR="00F20F5C">
        <w:t>1</w:t>
      </w:r>
      <w:r w:rsidR="00C268E6">
        <w:t>1</w:t>
      </w:r>
      <w:r w:rsidR="00FD2132">
        <w:t>6</w:t>
      </w:r>
      <w:r w:rsidR="00FF6BD0">
        <w:t>bis</w:t>
      </w:r>
      <w:r w:rsidR="008D6252">
        <w:t>-</w:t>
      </w:r>
      <w:r w:rsidR="00F20F5C">
        <w:t>e</w:t>
      </w:r>
      <w:r w:rsidRPr="00CE0424">
        <w:tab/>
      </w:r>
      <w:r w:rsidR="00F669B6" w:rsidRPr="00F669B6">
        <w:rPr>
          <w:rFonts w:cs="Arial"/>
          <w:szCs w:val="18"/>
        </w:rPr>
        <w:t>R2-2201077</w:t>
      </w:r>
    </w:p>
    <w:p w14:paraId="0C6B28B3" w14:textId="70F925BB" w:rsidR="00E90E49" w:rsidRPr="00CE0424" w:rsidRDefault="00C268E6" w:rsidP="00311702">
      <w:pPr>
        <w:pStyle w:val="3GPPHeader"/>
      </w:pPr>
      <w:r>
        <w:t xml:space="preserve">Electronic meeting, </w:t>
      </w:r>
      <w:r w:rsidR="00FF6BD0">
        <w:t>January</w:t>
      </w:r>
      <w:r w:rsidR="009A41FC" w:rsidRPr="00C81F1A">
        <w:t xml:space="preserve"> </w:t>
      </w:r>
      <w:r w:rsidR="00FD2132">
        <w:t>1</w:t>
      </w:r>
      <w:r w:rsidR="00FF6BD0">
        <w:t>7</w:t>
      </w:r>
      <w:r w:rsidR="00FF6BD0" w:rsidRPr="00FF6BD0">
        <w:rPr>
          <w:vertAlign w:val="superscript"/>
        </w:rPr>
        <w:t>th</w:t>
      </w:r>
      <w:r w:rsidR="00FF6BD0">
        <w:t xml:space="preserve"> </w:t>
      </w:r>
      <w:r w:rsidR="009A41FC">
        <w:t xml:space="preserve">– </w:t>
      </w:r>
      <w:r w:rsidR="00FF6BD0">
        <w:t>25</w:t>
      </w:r>
      <w:r w:rsidR="009A41FC" w:rsidRPr="009D332C">
        <w:rPr>
          <w:vertAlign w:val="superscript"/>
        </w:rPr>
        <w:t>th</w:t>
      </w:r>
      <w:r w:rsidR="009A41FC">
        <w:t xml:space="preserve"> </w:t>
      </w:r>
      <w:r w:rsidR="009A41FC" w:rsidRPr="00C81F1A">
        <w:t>202</w:t>
      </w:r>
      <w:r w:rsidR="00FF6BD0">
        <w:t>2</w:t>
      </w:r>
    </w:p>
    <w:p w14:paraId="06051D58" w14:textId="77777777" w:rsidR="00E90E49" w:rsidRPr="00CE0424" w:rsidRDefault="00E90E49" w:rsidP="00357380">
      <w:pPr>
        <w:pStyle w:val="3GPPHeader"/>
      </w:pPr>
    </w:p>
    <w:p w14:paraId="0D4362EF" w14:textId="0F21182B" w:rsidR="00E90E49" w:rsidRPr="00F20CAB" w:rsidRDefault="00E90E49" w:rsidP="00311702">
      <w:pPr>
        <w:pStyle w:val="3GPPHeader"/>
        <w:rPr>
          <w:sz w:val="22"/>
          <w:szCs w:val="22"/>
          <w:lang w:val="en-US"/>
        </w:rPr>
      </w:pPr>
      <w:r w:rsidRPr="00F20CAB">
        <w:rPr>
          <w:sz w:val="22"/>
          <w:szCs w:val="22"/>
          <w:lang w:val="en-US"/>
        </w:rPr>
        <w:t>Agenda Item:</w:t>
      </w:r>
      <w:r w:rsidRPr="00F20CAB">
        <w:rPr>
          <w:sz w:val="22"/>
          <w:szCs w:val="22"/>
          <w:lang w:val="en-US"/>
        </w:rPr>
        <w:tab/>
      </w:r>
      <w:r w:rsidR="00D72970" w:rsidRPr="00F20CAB">
        <w:rPr>
          <w:sz w:val="22"/>
          <w:szCs w:val="22"/>
          <w:lang w:val="en-US"/>
        </w:rPr>
        <w:t>9.1.2</w:t>
      </w:r>
    </w:p>
    <w:p w14:paraId="6D3713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45444" w14:textId="3CAE1232" w:rsidR="00E90E49" w:rsidRPr="00CE0424" w:rsidRDefault="003D3C45" w:rsidP="00311702">
      <w:pPr>
        <w:pStyle w:val="3GPPHeader"/>
        <w:rPr>
          <w:sz w:val="22"/>
          <w:szCs w:val="22"/>
        </w:rPr>
      </w:pPr>
      <w:r>
        <w:rPr>
          <w:sz w:val="22"/>
          <w:szCs w:val="22"/>
        </w:rPr>
        <w:t>Title:</w:t>
      </w:r>
      <w:r w:rsidR="00E90E49" w:rsidRPr="00CE0424">
        <w:rPr>
          <w:sz w:val="22"/>
          <w:szCs w:val="22"/>
        </w:rPr>
        <w:tab/>
      </w:r>
      <w:r w:rsidR="008D6252">
        <w:rPr>
          <w:sz w:val="22"/>
          <w:szCs w:val="22"/>
        </w:rPr>
        <w:t xml:space="preserve">Discussion on </w:t>
      </w:r>
      <w:r w:rsidR="00121375">
        <w:rPr>
          <w:sz w:val="22"/>
          <w:szCs w:val="22"/>
        </w:rPr>
        <w:t>connected mode measurement</w:t>
      </w:r>
      <w:r w:rsidR="00621BED">
        <w:rPr>
          <w:sz w:val="22"/>
          <w:szCs w:val="22"/>
        </w:rPr>
        <w:t xml:space="preserve"> in NB-</w:t>
      </w:r>
      <w:r w:rsidR="00B427B9">
        <w:rPr>
          <w:sz w:val="22"/>
          <w:szCs w:val="22"/>
        </w:rPr>
        <w:t>IoT</w:t>
      </w:r>
    </w:p>
    <w:p w14:paraId="5C51A0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F46">
        <w:rPr>
          <w:sz w:val="22"/>
          <w:szCs w:val="22"/>
        </w:rPr>
        <w:t>Discussion, Decision</w:t>
      </w:r>
    </w:p>
    <w:p w14:paraId="427C9DB9" w14:textId="77777777" w:rsidR="00E90E49" w:rsidRPr="00CE0424" w:rsidRDefault="00E90E49" w:rsidP="00E90E49"/>
    <w:p w14:paraId="41BB9514" w14:textId="6730E635" w:rsidR="00E90E49" w:rsidRPr="00CE0424" w:rsidRDefault="00E90E49" w:rsidP="009108CA">
      <w:pPr>
        <w:pStyle w:val="Heading1"/>
        <w:numPr>
          <w:ilvl w:val="0"/>
          <w:numId w:val="19"/>
        </w:numPr>
        <w:ind w:hanging="810"/>
      </w:pPr>
      <w:r w:rsidRPr="00CE0424">
        <w:t>Introduction</w:t>
      </w:r>
    </w:p>
    <w:p w14:paraId="5452F60F" w14:textId="56EEFB8B" w:rsidR="00477768" w:rsidRDefault="00381C29" w:rsidP="00CE0424">
      <w:pPr>
        <w:pStyle w:val="BodyText"/>
      </w:pPr>
      <w:r>
        <w:t>In Rel-17</w:t>
      </w:r>
      <w:r w:rsidR="00FF2AAE">
        <w:t>,</w:t>
      </w:r>
      <w:r>
        <w:t xml:space="preserve"> one of the </w:t>
      </w:r>
      <w:r w:rsidR="00872070">
        <w:t>objectives in</w:t>
      </w:r>
      <w:r w:rsidR="00FF2AAE">
        <w:t xml:space="preserve"> the</w:t>
      </w:r>
      <w:r w:rsidR="00872070">
        <w:t xml:space="preserve"> </w:t>
      </w:r>
      <w:r>
        <w:t>WI</w:t>
      </w:r>
      <w:r w:rsidR="00872070">
        <w:t>D</w:t>
      </w:r>
      <w:r>
        <w:t xml:space="preserve"> is:</w:t>
      </w:r>
    </w:p>
    <w:p w14:paraId="0DB67678" w14:textId="328FC1F6" w:rsidR="00381C29" w:rsidRDefault="00381C29" w:rsidP="009108CA">
      <w:pPr>
        <w:widowControl w:val="0"/>
        <w:numPr>
          <w:ilvl w:val="0"/>
          <w:numId w:val="13"/>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Specify signaling for neighbor cell measurements and corresponding measurement triggering before RLF, to </w:t>
      </w:r>
      <w:bookmarkStart w:id="0" w:name="_Hlk54086256"/>
      <w:r>
        <w:rPr>
          <w:rFonts w:eastAsia="DengXian"/>
          <w:lang w:val="en-US" w:eastAsia="zh-CN"/>
        </w:rPr>
        <w:t>reduce the time taken to RRC reestablishment to another cell</w:t>
      </w:r>
      <w:bookmarkEnd w:id="0"/>
      <w:r>
        <w:rPr>
          <w:rFonts w:eastAsia="DengXian"/>
          <w:lang w:val="en-US" w:eastAsia="zh-CN"/>
        </w:rPr>
        <w:t>, without defining specific gaps. [NB-IoT] [RAN2, RAN4].</w:t>
      </w:r>
    </w:p>
    <w:p w14:paraId="5010B749" w14:textId="2C5438D9" w:rsidR="00FA5AD7" w:rsidRDefault="00FA5AD7" w:rsidP="00FA5AD7">
      <w:pPr>
        <w:widowControl w:val="0"/>
        <w:overflowPunct/>
        <w:autoSpaceDE/>
        <w:adjustRightInd/>
        <w:spacing w:after="0" w:line="360" w:lineRule="auto"/>
        <w:contextualSpacing/>
        <w:jc w:val="both"/>
        <w:textAlignment w:val="auto"/>
        <w:rPr>
          <w:rFonts w:eastAsia="DengXian"/>
          <w:lang w:val="en-US" w:eastAsia="zh-CN"/>
        </w:rPr>
      </w:pPr>
    </w:p>
    <w:p w14:paraId="7057AD28" w14:textId="62C58F0D" w:rsidR="009A41FC" w:rsidRDefault="009A41FC" w:rsidP="00CE0424">
      <w:pPr>
        <w:pStyle w:val="BodyText"/>
      </w:pPr>
    </w:p>
    <w:tbl>
      <w:tblPr>
        <w:tblW w:w="9217"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7"/>
      </w:tblGrid>
      <w:tr w:rsidR="00560282" w14:paraId="7C81CFFC" w14:textId="77777777" w:rsidTr="00570AF5">
        <w:trPr>
          <w:trHeight w:val="1000"/>
        </w:trPr>
        <w:tc>
          <w:tcPr>
            <w:tcW w:w="9217" w:type="dxa"/>
          </w:tcPr>
          <w:p w14:paraId="7A19D8A7" w14:textId="77777777" w:rsidR="002C1E46" w:rsidRDefault="002C1E46" w:rsidP="002C1E46">
            <w:pPr>
              <w:rPr>
                <w:rFonts w:eastAsia="MS Mincho" w:cs="Arial"/>
                <w:lang w:val="en-US"/>
              </w:rPr>
            </w:pPr>
            <w:r>
              <w:rPr>
                <w:rFonts w:eastAsia="MS Mincho" w:cs="Arial"/>
                <w:highlight w:val="green"/>
                <w:lang w:val="en-US"/>
              </w:rPr>
              <w:t>RAN2#116-e agreements:</w:t>
            </w:r>
          </w:p>
          <w:p w14:paraId="4C997CB2" w14:textId="77777777" w:rsidR="002C1E46" w:rsidRDefault="002C1E46" w:rsidP="002C1E46">
            <w:pPr>
              <w:pStyle w:val="Agreement"/>
              <w:numPr>
                <w:ilvl w:val="0"/>
                <w:numId w:val="32"/>
              </w:numPr>
              <w:rPr>
                <w:b w:val="0"/>
              </w:rPr>
            </w:pPr>
            <w:r>
              <w:rPr>
                <w:b w:val="0"/>
              </w:rPr>
              <w:t>NW signals two separate thresholds for intra- and inter-frequency measurements.</w:t>
            </w:r>
          </w:p>
          <w:p w14:paraId="3751A696" w14:textId="77777777" w:rsidR="002C1E46" w:rsidRDefault="002C1E46" w:rsidP="002C1E46">
            <w:pPr>
              <w:pStyle w:val="Agreement"/>
              <w:numPr>
                <w:ilvl w:val="0"/>
                <w:numId w:val="32"/>
              </w:numPr>
              <w:rPr>
                <w:b w:val="0"/>
              </w:rPr>
            </w:pPr>
            <w:r>
              <w:rPr>
                <w:b w:val="0"/>
              </w:rPr>
              <w:t>The values of s-</w:t>
            </w:r>
            <w:proofErr w:type="spellStart"/>
            <w:r>
              <w:rPr>
                <w:b w:val="0"/>
              </w:rPr>
              <w:t>SearchDeltaP</w:t>
            </w:r>
            <w:proofErr w:type="spellEnd"/>
            <w:r>
              <w:rPr>
                <w:b w:val="0"/>
              </w:rPr>
              <w:t xml:space="preserve"> and </w:t>
            </w:r>
            <w:proofErr w:type="spellStart"/>
            <w:r>
              <w:rPr>
                <w:b w:val="0"/>
              </w:rPr>
              <w:t>TSearchDeltaP</w:t>
            </w:r>
            <w:proofErr w:type="spellEnd"/>
            <w:r>
              <w:rPr>
                <w:b w:val="0"/>
              </w:rPr>
              <w:t xml:space="preserve"> may be different in RRC_CONNECTED and RRC_IDLE, they are signalled in a separate set of parameters. </w:t>
            </w:r>
          </w:p>
          <w:p w14:paraId="52708DE0" w14:textId="77777777" w:rsidR="002C1E46" w:rsidRDefault="002C1E46" w:rsidP="002C1E46">
            <w:pPr>
              <w:pStyle w:val="Agreement"/>
              <w:numPr>
                <w:ilvl w:val="0"/>
                <w:numId w:val="33"/>
              </w:numPr>
              <w:rPr>
                <w:b w:val="0"/>
              </w:rPr>
            </w:pPr>
            <w:r>
              <w:rPr>
                <w:b w:val="0"/>
              </w:rPr>
              <w:t>s-</w:t>
            </w:r>
            <w:proofErr w:type="spellStart"/>
            <w:r>
              <w:rPr>
                <w:b w:val="0"/>
              </w:rPr>
              <w:t>SearchDeltaP</w:t>
            </w:r>
            <w:proofErr w:type="spellEnd"/>
            <w:r>
              <w:rPr>
                <w:b w:val="0"/>
              </w:rPr>
              <w:t xml:space="preserve"> has the same value range as the existing RRC_IDLE parameter</w:t>
            </w:r>
          </w:p>
          <w:p w14:paraId="42FFABDB" w14:textId="77777777" w:rsidR="002C1E46" w:rsidRDefault="002C1E46" w:rsidP="002C1E46">
            <w:pPr>
              <w:pStyle w:val="Agreement"/>
              <w:numPr>
                <w:ilvl w:val="0"/>
                <w:numId w:val="33"/>
              </w:numPr>
              <w:rPr>
                <w:b w:val="0"/>
              </w:rPr>
            </w:pPr>
            <w:r>
              <w:rPr>
                <w:b w:val="0"/>
              </w:rPr>
              <w:t>FFS how to specify the state change</w:t>
            </w:r>
          </w:p>
          <w:p w14:paraId="6570D676" w14:textId="77777777" w:rsidR="002C1E46" w:rsidRDefault="002C1E46" w:rsidP="002C1E46">
            <w:pPr>
              <w:pStyle w:val="Agreement"/>
              <w:numPr>
                <w:ilvl w:val="0"/>
                <w:numId w:val="32"/>
              </w:numPr>
              <w:rPr>
                <w:b w:val="0"/>
              </w:rPr>
            </w:pPr>
            <w:r>
              <w:rPr>
                <w:b w:val="0"/>
              </w:rPr>
              <w:t xml:space="preserve">[FFS] An indication that the UE starts measurement is not introduced. </w:t>
            </w:r>
          </w:p>
          <w:p w14:paraId="34E047E8" w14:textId="77777777" w:rsidR="002C1E46" w:rsidRDefault="002C1E46" w:rsidP="002C1E46">
            <w:pPr>
              <w:pStyle w:val="Agreement"/>
              <w:numPr>
                <w:ilvl w:val="0"/>
                <w:numId w:val="32"/>
              </w:numPr>
              <w:rPr>
                <w:b w:val="0"/>
                <w:bCs/>
              </w:rPr>
            </w:pPr>
            <w:r>
              <w:rPr>
                <w:b w:val="0"/>
              </w:rPr>
              <w:t>No enhancement is introduced to have a shorter T310 timer for mobile UEs supporting connected mode measurement.</w:t>
            </w:r>
          </w:p>
          <w:p w14:paraId="1B335D5C" w14:textId="77777777" w:rsidR="002C1E46" w:rsidRDefault="002C1E46" w:rsidP="002C1E46">
            <w:pPr>
              <w:pStyle w:val="Agreement"/>
              <w:numPr>
                <w:ilvl w:val="0"/>
                <w:numId w:val="32"/>
              </w:numPr>
              <w:rPr>
                <w:b w:val="0"/>
                <w:bCs/>
              </w:rPr>
            </w:pPr>
            <w:r>
              <w:rPr>
                <w:b w:val="0"/>
                <w:bCs/>
              </w:rPr>
              <w:t xml:space="preserve">For RRC_CONNECTED state, </w:t>
            </w:r>
            <w:proofErr w:type="spellStart"/>
            <w:r>
              <w:rPr>
                <w:b w:val="0"/>
                <w:bCs/>
              </w:rPr>
              <w:t>TSearchDeltaP</w:t>
            </w:r>
            <w:proofErr w:type="spellEnd"/>
            <w:r>
              <w:rPr>
                <w:b w:val="0"/>
                <w:bCs/>
              </w:rPr>
              <w:t xml:space="preserve"> is configured via SIB.</w:t>
            </w:r>
          </w:p>
          <w:p w14:paraId="1C91503D" w14:textId="77777777" w:rsidR="002C1E46" w:rsidRDefault="002C1E46" w:rsidP="002C1E46">
            <w:pPr>
              <w:pStyle w:val="Agreement"/>
              <w:numPr>
                <w:ilvl w:val="0"/>
                <w:numId w:val="32"/>
              </w:numPr>
              <w:rPr>
                <w:b w:val="0"/>
                <w:bCs/>
              </w:rPr>
            </w:pPr>
            <w:r>
              <w:rPr>
                <w:b w:val="0"/>
                <w:bCs/>
              </w:rPr>
              <w:t xml:space="preserve">Working assumption: For RRC_CONNECTED state, </w:t>
            </w:r>
            <w:proofErr w:type="spellStart"/>
            <w:r>
              <w:rPr>
                <w:b w:val="0"/>
                <w:bCs/>
              </w:rPr>
              <w:t>TSearchDeltaP</w:t>
            </w:r>
            <w:proofErr w:type="spellEnd"/>
            <w:r>
              <w:rPr>
                <w:b w:val="0"/>
                <w:bCs/>
              </w:rPr>
              <w:t xml:space="preserve"> range is 10 – 60 seconds.</w:t>
            </w:r>
          </w:p>
          <w:p w14:paraId="0DC00862" w14:textId="77777777" w:rsidR="002C1E46" w:rsidRDefault="002C1E46" w:rsidP="002C1E46">
            <w:pPr>
              <w:pStyle w:val="Agreement"/>
              <w:numPr>
                <w:ilvl w:val="0"/>
                <w:numId w:val="32"/>
              </w:numPr>
              <w:rPr>
                <w:b w:val="0"/>
                <w:bCs/>
              </w:rPr>
            </w:pPr>
            <w:r>
              <w:rPr>
                <w:b w:val="0"/>
                <w:bCs/>
              </w:rPr>
              <w:t xml:space="preserve">For RRC_CONNECTED state, no default value for </w:t>
            </w:r>
            <w:proofErr w:type="spellStart"/>
            <w:r>
              <w:rPr>
                <w:b w:val="0"/>
                <w:bCs/>
              </w:rPr>
              <w:t>TSearchDeltaP</w:t>
            </w:r>
            <w:proofErr w:type="spellEnd"/>
            <w:r>
              <w:rPr>
                <w:b w:val="0"/>
                <w:bCs/>
              </w:rPr>
              <w:t>.</w:t>
            </w:r>
          </w:p>
          <w:p w14:paraId="1B0E5160" w14:textId="5ED68D4E" w:rsidR="002C1E46" w:rsidRDefault="002C1E46" w:rsidP="002C1E46">
            <w:pPr>
              <w:pStyle w:val="Agreement"/>
              <w:numPr>
                <w:ilvl w:val="0"/>
                <w:numId w:val="32"/>
              </w:numPr>
              <w:rPr>
                <w:b w:val="0"/>
                <w:bCs/>
              </w:rPr>
            </w:pPr>
            <w:r>
              <w:rPr>
                <w:b w:val="0"/>
                <w:bCs/>
              </w:rPr>
              <w:t>No limit for how long UE can remain in relaxed neighbour cell monitoring state while it is in RRC_CONNECTED state.</w:t>
            </w:r>
          </w:p>
          <w:p w14:paraId="0F548514" w14:textId="77777777" w:rsidR="002C1E46" w:rsidRDefault="002C1E46" w:rsidP="002C1E46">
            <w:pPr>
              <w:pStyle w:val="Agreement"/>
              <w:numPr>
                <w:ilvl w:val="0"/>
                <w:numId w:val="32"/>
              </w:numPr>
              <w:rPr>
                <w:b w:val="0"/>
                <w:bCs/>
              </w:rPr>
            </w:pPr>
            <w:r>
              <w:rPr>
                <w:b w:val="0"/>
                <w:bCs/>
              </w:rPr>
              <w:t xml:space="preserve">For RRC_CONNECTED state, the RRC_IDLE state </w:t>
            </w:r>
            <w:proofErr w:type="spellStart"/>
            <w:r>
              <w:rPr>
                <w:b w:val="0"/>
                <w:bCs/>
              </w:rPr>
              <w:t>SSearchDeltaP</w:t>
            </w:r>
            <w:proofErr w:type="spellEnd"/>
            <w:r>
              <w:rPr>
                <w:b w:val="0"/>
                <w:bCs/>
              </w:rPr>
              <w:t xml:space="preserve"> is not used if the RRC_CONNECTED state </w:t>
            </w:r>
            <w:proofErr w:type="spellStart"/>
            <w:r>
              <w:rPr>
                <w:b w:val="0"/>
                <w:bCs/>
              </w:rPr>
              <w:t>SSearchDeltaP</w:t>
            </w:r>
            <w:proofErr w:type="spellEnd"/>
            <w:r>
              <w:rPr>
                <w:b w:val="0"/>
                <w:bCs/>
              </w:rPr>
              <w:t xml:space="preserve"> is not provided.</w:t>
            </w:r>
          </w:p>
          <w:p w14:paraId="38820265" w14:textId="77777777" w:rsidR="002C1E46" w:rsidRDefault="002C1E46" w:rsidP="002C1E46">
            <w:pPr>
              <w:pStyle w:val="Agreement"/>
              <w:numPr>
                <w:ilvl w:val="0"/>
                <w:numId w:val="32"/>
              </w:numPr>
            </w:pPr>
            <w:r>
              <w:rPr>
                <w:b w:val="0"/>
                <w:bCs/>
              </w:rPr>
              <w:t xml:space="preserve">Relaxed neighbour cell monitoring is enabled in RRC_CONNECTED state </w:t>
            </w:r>
            <w:proofErr w:type="gramStart"/>
            <w:r>
              <w:rPr>
                <w:b w:val="0"/>
                <w:bCs/>
              </w:rPr>
              <w:t xml:space="preserve">if  </w:t>
            </w:r>
            <w:proofErr w:type="spellStart"/>
            <w:r>
              <w:rPr>
                <w:b w:val="0"/>
                <w:bCs/>
              </w:rPr>
              <w:t>TSearchDeltaP</w:t>
            </w:r>
            <w:proofErr w:type="spellEnd"/>
            <w:proofErr w:type="gramEnd"/>
            <w:r>
              <w:rPr>
                <w:b w:val="0"/>
                <w:bCs/>
              </w:rPr>
              <w:t xml:space="preserve"> and </w:t>
            </w:r>
            <w:proofErr w:type="spellStart"/>
            <w:r>
              <w:rPr>
                <w:b w:val="0"/>
                <w:bCs/>
              </w:rPr>
              <w:t>SSearchDeltaP</w:t>
            </w:r>
            <w:proofErr w:type="spellEnd"/>
            <w:r>
              <w:rPr>
                <w:b w:val="0"/>
                <w:bCs/>
              </w:rPr>
              <w:t xml:space="preserve"> for RRC_CONNECTED state are provided.</w:t>
            </w:r>
          </w:p>
          <w:p w14:paraId="05A74153" w14:textId="16395A98" w:rsidR="00050A97" w:rsidRDefault="00050A97" w:rsidP="00050A97">
            <w:pPr>
              <w:pStyle w:val="Doc-text2"/>
              <w:overflowPunct/>
              <w:autoSpaceDE/>
              <w:autoSpaceDN/>
              <w:adjustRightInd/>
              <w:ind w:left="0" w:firstLine="0"/>
              <w:textAlignment w:val="auto"/>
            </w:pPr>
          </w:p>
        </w:tc>
      </w:tr>
    </w:tbl>
    <w:p w14:paraId="4264DADF" w14:textId="77777777" w:rsidR="009A41FC" w:rsidRDefault="009A41FC" w:rsidP="00CE0424">
      <w:pPr>
        <w:pStyle w:val="BodyText"/>
      </w:pPr>
    </w:p>
    <w:p w14:paraId="05594B2F" w14:textId="0B111AEE" w:rsidR="00381C29" w:rsidRPr="00CE0424" w:rsidRDefault="00381C29" w:rsidP="00CE0424">
      <w:pPr>
        <w:pStyle w:val="BodyText"/>
      </w:pPr>
      <w:r w:rsidRPr="007355D2">
        <w:t>In this paper</w:t>
      </w:r>
      <w:r w:rsidR="00EA2379" w:rsidRPr="007355D2">
        <w:t xml:space="preserve">, </w:t>
      </w:r>
      <w:r w:rsidR="007355D2">
        <w:t xml:space="preserve">we will focus on the issues </w:t>
      </w:r>
      <w:r w:rsidR="00475962">
        <w:t xml:space="preserve">such as relaxed monitoring </w:t>
      </w:r>
      <w:r w:rsidR="007355D2">
        <w:t>and provide our proposals based on the analysis.</w:t>
      </w:r>
    </w:p>
    <w:p w14:paraId="4DA5EDD1" w14:textId="480EDAA1" w:rsidR="004000E8" w:rsidRDefault="004000E8" w:rsidP="009108CA">
      <w:pPr>
        <w:pStyle w:val="Heading1"/>
        <w:numPr>
          <w:ilvl w:val="0"/>
          <w:numId w:val="19"/>
        </w:numPr>
        <w:ind w:hanging="810"/>
      </w:pPr>
      <w:bookmarkStart w:id="1" w:name="_Ref178064866"/>
      <w:r w:rsidRPr="00CE0424">
        <w:lastRenderedPageBreak/>
        <w:t>Discussion</w:t>
      </w:r>
      <w:bookmarkEnd w:id="1"/>
    </w:p>
    <w:p w14:paraId="04231361" w14:textId="0EFAA95C" w:rsidR="00EC58FF" w:rsidRPr="002C1E46" w:rsidRDefault="002C1E46" w:rsidP="00EC0853">
      <w:pPr>
        <w:pStyle w:val="Heading2"/>
        <w:numPr>
          <w:ilvl w:val="1"/>
          <w:numId w:val="20"/>
        </w:numPr>
        <w:ind w:hanging="792"/>
        <w:rPr>
          <w:rFonts w:eastAsia="Times New Roman"/>
          <w:lang w:val="en-US"/>
        </w:rPr>
      </w:pPr>
      <w:r w:rsidRPr="002C1E46">
        <w:rPr>
          <w:bCs/>
        </w:rPr>
        <w:t>Relaxed neighbour cell monitoring</w:t>
      </w:r>
    </w:p>
    <w:p w14:paraId="5C9AB591" w14:textId="56ABAE9A" w:rsidR="002944ED" w:rsidRPr="00D316D1" w:rsidRDefault="005F788C" w:rsidP="00D316D1">
      <w:pPr>
        <w:jc w:val="both"/>
        <w:rPr>
          <w:rFonts w:ascii="Arial" w:hAnsi="Arial" w:cs="Arial"/>
        </w:rPr>
      </w:pPr>
      <w:r w:rsidRPr="00D316D1">
        <w:rPr>
          <w:rFonts w:ascii="Arial" w:hAnsi="Arial" w:cs="Arial"/>
        </w:rPr>
        <w:t>In RAN2#11</w:t>
      </w:r>
      <w:r w:rsidR="002C1E46" w:rsidRPr="00D316D1">
        <w:rPr>
          <w:rFonts w:ascii="Arial" w:hAnsi="Arial" w:cs="Arial"/>
        </w:rPr>
        <w:t>6</w:t>
      </w:r>
      <w:r w:rsidRPr="00D316D1">
        <w:rPr>
          <w:rFonts w:ascii="Arial" w:hAnsi="Arial" w:cs="Arial"/>
        </w:rPr>
        <w:t>-e</w:t>
      </w:r>
      <w:r w:rsidR="002C1E46" w:rsidRPr="00D316D1">
        <w:rPr>
          <w:rFonts w:ascii="Arial" w:hAnsi="Arial" w:cs="Arial"/>
        </w:rPr>
        <w:t xml:space="preserve"> there was an agreement that relaxed </w:t>
      </w:r>
      <w:r w:rsidR="00D316D1" w:rsidRPr="00D316D1">
        <w:rPr>
          <w:rFonts w:ascii="Arial" w:hAnsi="Arial" w:cs="Arial"/>
        </w:rPr>
        <w:t>neighbour</w:t>
      </w:r>
      <w:r w:rsidR="002C1E46" w:rsidRPr="00D316D1">
        <w:rPr>
          <w:rFonts w:ascii="Arial" w:hAnsi="Arial" w:cs="Arial"/>
        </w:rPr>
        <w:t xml:space="preserve"> cell monitoring is enabled also for RRC Connected state</w:t>
      </w:r>
      <w:r w:rsidR="002944ED" w:rsidRPr="00D316D1">
        <w:rPr>
          <w:rFonts w:ascii="Arial" w:hAnsi="Arial" w:cs="Arial"/>
        </w:rPr>
        <w:t xml:space="preserve">. </w:t>
      </w:r>
      <w:r w:rsidR="002C1E46" w:rsidRPr="00D316D1">
        <w:rPr>
          <w:rFonts w:ascii="Arial" w:hAnsi="Arial" w:cs="Arial"/>
        </w:rPr>
        <w:t xml:space="preserve">This is however unclear since the relaxed </w:t>
      </w:r>
      <w:r w:rsidR="00D316D1" w:rsidRPr="00D316D1">
        <w:rPr>
          <w:rFonts w:ascii="Arial" w:hAnsi="Arial" w:cs="Arial"/>
        </w:rPr>
        <w:t>neighbour</w:t>
      </w:r>
      <w:r w:rsidR="002C1E46" w:rsidRPr="00D316D1">
        <w:rPr>
          <w:rFonts w:ascii="Arial" w:hAnsi="Arial" w:cs="Arial"/>
        </w:rPr>
        <w:t xml:space="preserve"> cell monitoring is applicable for idle mode only. When UE transits to RRC Connected mode, the idle mode behaviour is not applicable. The only use case is that for a mobile device how it identifies if it is mobile or stationary when in connected mode. If it is mobile, it performs neighbo</w:t>
      </w:r>
      <w:r w:rsidR="00D316D1">
        <w:rPr>
          <w:rFonts w:ascii="Arial" w:hAnsi="Arial" w:cs="Arial"/>
        </w:rPr>
        <w:t>u</w:t>
      </w:r>
      <w:r w:rsidR="002C1E46" w:rsidRPr="00D316D1">
        <w:rPr>
          <w:rFonts w:ascii="Arial" w:hAnsi="Arial" w:cs="Arial"/>
        </w:rPr>
        <w:t>r cell measurement whereas if it is stationary it does not perform neigh</w:t>
      </w:r>
      <w:r w:rsidR="00D316D1">
        <w:rPr>
          <w:rFonts w:ascii="Arial" w:hAnsi="Arial" w:cs="Arial"/>
        </w:rPr>
        <w:t>b</w:t>
      </w:r>
      <w:r w:rsidR="002C1E46" w:rsidRPr="00D316D1">
        <w:rPr>
          <w:rFonts w:ascii="Arial" w:hAnsi="Arial" w:cs="Arial"/>
        </w:rPr>
        <w:t>o</w:t>
      </w:r>
      <w:r w:rsidR="00D316D1">
        <w:rPr>
          <w:rFonts w:ascii="Arial" w:hAnsi="Arial" w:cs="Arial"/>
        </w:rPr>
        <w:t>u</w:t>
      </w:r>
      <w:r w:rsidR="002C1E46" w:rsidRPr="00D316D1">
        <w:rPr>
          <w:rFonts w:ascii="Arial" w:hAnsi="Arial" w:cs="Arial"/>
        </w:rPr>
        <w:t>r cell measurement.</w:t>
      </w:r>
    </w:p>
    <w:p w14:paraId="1EF16795" w14:textId="3B9D8319" w:rsidR="006C5566" w:rsidRPr="00D316D1" w:rsidRDefault="006C5566" w:rsidP="00D316D1">
      <w:pPr>
        <w:jc w:val="both"/>
        <w:rPr>
          <w:rFonts w:ascii="Arial" w:hAnsi="Arial" w:cs="Arial"/>
        </w:rPr>
      </w:pPr>
      <w:r w:rsidRPr="00D316D1">
        <w:rPr>
          <w:rFonts w:ascii="Arial" w:hAnsi="Arial" w:cs="Arial"/>
        </w:rPr>
        <w:t xml:space="preserve">The NB-IoT </w:t>
      </w:r>
      <w:r w:rsidR="007B6F68" w:rsidRPr="00D316D1">
        <w:rPr>
          <w:rFonts w:ascii="Arial" w:hAnsi="Arial" w:cs="Arial"/>
        </w:rPr>
        <w:t xml:space="preserve">traffic </w:t>
      </w:r>
      <w:r w:rsidRPr="00D316D1">
        <w:rPr>
          <w:rFonts w:ascii="Arial" w:hAnsi="Arial" w:cs="Arial"/>
        </w:rPr>
        <w:t xml:space="preserve">is short lived. It is unclear as why this mechanism needs to be introduced in connected mode. </w:t>
      </w:r>
    </w:p>
    <w:p w14:paraId="2D8DDD37" w14:textId="366C592D" w:rsidR="006C5566" w:rsidRDefault="006C5566" w:rsidP="002944ED"/>
    <w:p w14:paraId="7B076AE8" w14:textId="5B081B50" w:rsidR="006C5566" w:rsidRDefault="006C5566" w:rsidP="006C5566">
      <w:pPr>
        <w:pStyle w:val="Observation"/>
      </w:pPr>
      <w:bookmarkStart w:id="2" w:name="_Toc92629824"/>
      <w:r>
        <w:t xml:space="preserve">It is unclear as why </w:t>
      </w:r>
      <w:r w:rsidR="003B7BEE">
        <w:t>r</w:t>
      </w:r>
      <w:r>
        <w:t xml:space="preserve">elaxed monitoring needs to be introduced in connected mode when it is known that the </w:t>
      </w:r>
      <w:r w:rsidR="00A93D76">
        <w:t>NB-I</w:t>
      </w:r>
      <w:r w:rsidR="003B7BEE">
        <w:t>o</w:t>
      </w:r>
      <w:r w:rsidR="00A93D76">
        <w:t xml:space="preserve">T </w:t>
      </w:r>
      <w:r>
        <w:t xml:space="preserve">traffic </w:t>
      </w:r>
      <w:r w:rsidR="00102A23">
        <w:t>(</w:t>
      </w:r>
      <w:r>
        <w:t>connected mode</w:t>
      </w:r>
      <w:r w:rsidR="00102A23">
        <w:t>)</w:t>
      </w:r>
      <w:r>
        <w:t xml:space="preserve"> is very short lived. The only objective is to determine whether the UE is mobile or not. If it is mobile, it can initiate neighbo</w:t>
      </w:r>
      <w:r w:rsidR="003B7BEE">
        <w:t>u</w:t>
      </w:r>
      <w:r>
        <w:t>r cell measurement else it does not need to do so.</w:t>
      </w:r>
      <w:bookmarkEnd w:id="2"/>
    </w:p>
    <w:p w14:paraId="1353879B" w14:textId="77777777" w:rsidR="003B7BEE" w:rsidRDefault="003B7BEE" w:rsidP="003B7BEE">
      <w:pPr>
        <w:jc w:val="both"/>
        <w:rPr>
          <w:rFonts w:ascii="Arial" w:hAnsi="Arial" w:cs="Arial"/>
        </w:rPr>
      </w:pPr>
    </w:p>
    <w:p w14:paraId="65A61B90" w14:textId="424CB1F3" w:rsidR="002C1E46" w:rsidRPr="003B7BEE" w:rsidRDefault="002C1E46" w:rsidP="003B7BEE">
      <w:pPr>
        <w:jc w:val="both"/>
        <w:rPr>
          <w:rFonts w:ascii="Arial" w:hAnsi="Arial" w:cs="Arial"/>
        </w:rPr>
      </w:pPr>
      <w:r w:rsidRPr="003B7BEE">
        <w:rPr>
          <w:rFonts w:ascii="Arial" w:hAnsi="Arial" w:cs="Arial"/>
        </w:rPr>
        <w:t xml:space="preserve">For paging carrier selection there is an agreement that UE performs RSRP measurement considering a hysteresis/longer averaging/timer. We think the serving cell NRSRP below a certain threshold for a certain duration should ensure whether a UE is mobile or not. </w:t>
      </w:r>
      <w:r w:rsidR="006C5566" w:rsidRPr="003B7BEE">
        <w:rPr>
          <w:rFonts w:ascii="Arial" w:hAnsi="Arial" w:cs="Arial"/>
        </w:rPr>
        <w:t xml:space="preserve">Thus, from UE perspective not several optimizations are considered and only one based upon RSRP threshold is enough. </w:t>
      </w:r>
      <w:r w:rsidRPr="003B7BEE">
        <w:rPr>
          <w:rFonts w:ascii="Arial" w:hAnsi="Arial" w:cs="Arial"/>
        </w:rPr>
        <w:t>We do not need to introduce the concept of relaxed monitoring. It cannot be decided by RAN2 as extending relaxed monitoring to connected mode may have other consequences where RAN2 need to consult with RAN4.</w:t>
      </w:r>
    </w:p>
    <w:p w14:paraId="4D4DB042" w14:textId="68AEEB87" w:rsidR="002C1E46" w:rsidRDefault="002C1E46" w:rsidP="003B7BEE">
      <w:pPr>
        <w:jc w:val="both"/>
        <w:rPr>
          <w:rStyle w:val="IvDbodytextChar"/>
          <w:rFonts w:ascii="Times New Roman" w:hAnsi="Times New Roman"/>
        </w:rPr>
      </w:pPr>
      <w:r w:rsidRPr="003B7BEE">
        <w:rPr>
          <w:rFonts w:ascii="Arial" w:hAnsi="Arial" w:cs="Arial"/>
        </w:rPr>
        <w:t xml:space="preserve">UE may however with respect to newly introduced timers </w:t>
      </w:r>
      <w:r w:rsidRPr="003B7BEE">
        <w:rPr>
          <w:rStyle w:val="IvDbodytextChar"/>
          <w:rFonts w:cs="Arial"/>
        </w:rPr>
        <w:t>with such as s-</w:t>
      </w:r>
      <w:proofErr w:type="spellStart"/>
      <w:r w:rsidRPr="003B7BEE">
        <w:rPr>
          <w:rStyle w:val="IvDbodytextChar"/>
          <w:rFonts w:cs="Arial"/>
        </w:rPr>
        <w:t>SearchDeltaP</w:t>
      </w:r>
      <w:proofErr w:type="spellEnd"/>
      <w:r w:rsidRPr="003B7BEE">
        <w:rPr>
          <w:rStyle w:val="IvDbodytextChar"/>
          <w:rFonts w:cs="Arial"/>
        </w:rPr>
        <w:t xml:space="preserve"> and </w:t>
      </w:r>
      <w:proofErr w:type="spellStart"/>
      <w:r w:rsidRPr="003B7BEE">
        <w:rPr>
          <w:rStyle w:val="IvDbodytextChar"/>
          <w:rFonts w:cs="Arial"/>
        </w:rPr>
        <w:t>TSearchDeltaP</w:t>
      </w:r>
      <w:proofErr w:type="spellEnd"/>
      <w:r w:rsidRPr="003B7BEE">
        <w:rPr>
          <w:rStyle w:val="IvDbodytextChar"/>
          <w:rFonts w:cs="Arial"/>
        </w:rPr>
        <w:t xml:space="preserve"> thar are configured specifically for connected mode</w:t>
      </w:r>
      <w:r w:rsidR="001F6D5C" w:rsidRPr="003B7BEE">
        <w:rPr>
          <w:rStyle w:val="IvDbodytextChar"/>
          <w:rFonts w:cs="Arial"/>
        </w:rPr>
        <w:t xml:space="preserve"> can be used to </w:t>
      </w:r>
      <w:proofErr w:type="spellStart"/>
      <w:r w:rsidR="001F6D5C" w:rsidRPr="003B7BEE">
        <w:rPr>
          <w:rStyle w:val="IvDbodytextChar"/>
          <w:rFonts w:cs="Arial"/>
        </w:rPr>
        <w:t>gause</w:t>
      </w:r>
      <w:proofErr w:type="spellEnd"/>
      <w:r w:rsidR="001F6D5C" w:rsidRPr="003B7BEE">
        <w:rPr>
          <w:rStyle w:val="IvDbodytextChar"/>
          <w:rFonts w:cs="Arial"/>
        </w:rPr>
        <w:t xml:space="preserve"> if UE is mobile or stationary. The UE</w:t>
      </w:r>
      <w:r w:rsidR="001F6D5C" w:rsidRPr="003B7BEE">
        <w:rPr>
          <w:rFonts w:ascii="Arial" w:hAnsi="Arial" w:cs="Arial"/>
        </w:rPr>
        <w:t xml:space="preserve"> can be considered</w:t>
      </w:r>
      <w:r w:rsidR="001F6D5C" w:rsidRPr="003B7BEE">
        <w:rPr>
          <w:rStyle w:val="IvDbodytextChar"/>
          <w:rFonts w:cs="Arial"/>
        </w:rPr>
        <w:t xml:space="preserve"> to have high-mobility if UE does not fulfill following condition: (</w:t>
      </w:r>
      <w:proofErr w:type="spellStart"/>
      <w:r w:rsidR="001F6D5C" w:rsidRPr="003B7BEE">
        <w:rPr>
          <w:rStyle w:val="IvDbodytextChar"/>
          <w:rFonts w:cs="Arial"/>
        </w:rPr>
        <w:t>SrxlevRef</w:t>
      </w:r>
      <w:proofErr w:type="spellEnd"/>
      <w:r w:rsidR="001F6D5C" w:rsidRPr="003B7BEE">
        <w:rPr>
          <w:rStyle w:val="IvDbodytextChar"/>
          <w:rFonts w:cs="Arial"/>
        </w:rPr>
        <w:t xml:space="preserve"> – </w:t>
      </w:r>
      <w:proofErr w:type="spellStart"/>
      <w:r w:rsidR="001F6D5C" w:rsidRPr="003B7BEE">
        <w:rPr>
          <w:rStyle w:val="IvDbodytextChar"/>
          <w:rFonts w:cs="Arial"/>
        </w:rPr>
        <w:t>Srxlev</w:t>
      </w:r>
      <w:proofErr w:type="spellEnd"/>
      <w:r w:rsidR="001F6D5C" w:rsidRPr="003B7BEE">
        <w:rPr>
          <w:rStyle w:val="IvDbodytextChar"/>
          <w:rFonts w:cs="Arial"/>
        </w:rPr>
        <w:t xml:space="preserve">) &lt; </w:t>
      </w:r>
      <w:proofErr w:type="spellStart"/>
      <w:r w:rsidR="001F6D5C" w:rsidRPr="003B7BEE">
        <w:rPr>
          <w:rStyle w:val="IvDbodytextChar"/>
          <w:rFonts w:cs="Arial"/>
        </w:rPr>
        <w:t>SSearchDeltaP</w:t>
      </w:r>
      <w:proofErr w:type="spellEnd"/>
      <w:r w:rsidR="001F6D5C" w:rsidRPr="003B7BEE">
        <w:rPr>
          <w:rStyle w:val="IvDbodytextChar"/>
          <w:rFonts w:cs="Arial"/>
        </w:rPr>
        <w:t xml:space="preserve"> over </w:t>
      </w:r>
      <w:proofErr w:type="spellStart"/>
      <w:r w:rsidR="001F6D5C" w:rsidRPr="003B7BEE">
        <w:rPr>
          <w:rStyle w:val="IvDbodytextChar"/>
          <w:rFonts w:cs="Arial"/>
        </w:rPr>
        <w:t>TSearchDelta</w:t>
      </w:r>
      <w:proofErr w:type="spellEnd"/>
    </w:p>
    <w:p w14:paraId="198E7755" w14:textId="77777777" w:rsidR="003B7BEE" w:rsidRDefault="003B7BEE" w:rsidP="003B7BEE">
      <w:pPr>
        <w:jc w:val="both"/>
        <w:rPr>
          <w:rStyle w:val="IvDbodytextChar"/>
          <w:rFonts w:ascii="Times New Roman" w:hAnsi="Times New Roman"/>
        </w:rPr>
      </w:pPr>
    </w:p>
    <w:p w14:paraId="36D1C9EC" w14:textId="7D19358C" w:rsidR="00FF10DD" w:rsidRPr="00280FF1" w:rsidRDefault="001F6D5C" w:rsidP="001F6D5C">
      <w:pPr>
        <w:pStyle w:val="Proposal"/>
      </w:pPr>
      <w:bookmarkStart w:id="3" w:name="_Ref77150257"/>
      <w:bookmarkStart w:id="4" w:name="_Toc92629879"/>
      <w:r>
        <w:t>Simple criterion to establish whether UE is mobile or not is introduced rather than introducing relaxed monitoring in connected mode</w:t>
      </w:r>
      <w:r w:rsidR="005522F3">
        <w:t>.</w:t>
      </w:r>
      <w:bookmarkEnd w:id="3"/>
      <w:bookmarkEnd w:id="4"/>
    </w:p>
    <w:p w14:paraId="4C98C2C4" w14:textId="77777777" w:rsidR="003B7BEE" w:rsidRDefault="003B7BEE" w:rsidP="003B7BEE">
      <w:pPr>
        <w:jc w:val="both"/>
        <w:rPr>
          <w:rFonts w:ascii="Arial" w:hAnsi="Arial" w:cs="Arial"/>
        </w:rPr>
      </w:pPr>
    </w:p>
    <w:p w14:paraId="25DC3C2D" w14:textId="0984B0D4" w:rsidR="001F6D5C" w:rsidRDefault="001F6D5C" w:rsidP="003B7BEE">
      <w:pPr>
        <w:jc w:val="both"/>
        <w:rPr>
          <w:rFonts w:ascii="Arial" w:hAnsi="Arial" w:cs="Arial"/>
        </w:rPr>
      </w:pPr>
      <w:r w:rsidRPr="003B7BEE">
        <w:rPr>
          <w:rFonts w:ascii="Arial" w:hAnsi="Arial" w:cs="Arial"/>
        </w:rPr>
        <w:t xml:space="preserve">Further, these UEs may also be able to store UE mobility history and compare if the UE should perform </w:t>
      </w:r>
      <w:proofErr w:type="spellStart"/>
      <w:r w:rsidRPr="003B7BEE">
        <w:rPr>
          <w:rFonts w:ascii="Arial" w:hAnsi="Arial" w:cs="Arial"/>
        </w:rPr>
        <w:t>neighbor</w:t>
      </w:r>
      <w:proofErr w:type="spellEnd"/>
      <w:r w:rsidRPr="003B7BEE">
        <w:rPr>
          <w:rFonts w:ascii="Arial" w:hAnsi="Arial" w:cs="Arial"/>
        </w:rPr>
        <w:t xml:space="preserve"> cell measurement or not. For example, what was the previous serving cell threshold before RLF like situation arising or whether there was any RLF and subsequent reestablishment to new cell. This can be </w:t>
      </w:r>
      <w:r w:rsidR="002822CF" w:rsidRPr="003B7BEE">
        <w:rPr>
          <w:rFonts w:ascii="Arial" w:hAnsi="Arial" w:cs="Arial"/>
        </w:rPr>
        <w:t xml:space="preserve">also </w:t>
      </w:r>
      <w:r w:rsidRPr="003B7BEE">
        <w:rPr>
          <w:rFonts w:ascii="Arial" w:hAnsi="Arial" w:cs="Arial"/>
        </w:rPr>
        <w:t>done by UE implementation as well.</w:t>
      </w:r>
    </w:p>
    <w:p w14:paraId="42806A4A" w14:textId="77777777" w:rsidR="003B7BEE" w:rsidRPr="003B7BEE" w:rsidRDefault="003B7BEE" w:rsidP="003B7BEE">
      <w:pPr>
        <w:jc w:val="both"/>
        <w:rPr>
          <w:rFonts w:ascii="Arial" w:hAnsi="Arial" w:cs="Arial"/>
        </w:rPr>
      </w:pPr>
    </w:p>
    <w:p w14:paraId="29FED976" w14:textId="4B533AED" w:rsidR="001F6D5C" w:rsidRDefault="001F6D5C" w:rsidP="002C6F13">
      <w:pPr>
        <w:pStyle w:val="Proposal"/>
      </w:pPr>
      <w:bookmarkStart w:id="5" w:name="_Toc92629880"/>
      <w:r>
        <w:t>UE mobility history can be used to assess whether neighbo</w:t>
      </w:r>
      <w:r w:rsidR="003B7BEE">
        <w:t>u</w:t>
      </w:r>
      <w:r>
        <w:t>r cell measurement is required or not.</w:t>
      </w:r>
      <w:bookmarkEnd w:id="5"/>
    </w:p>
    <w:p w14:paraId="48CD73DF" w14:textId="77777777" w:rsidR="001F6D5C" w:rsidRDefault="001F6D5C" w:rsidP="001F6D5C">
      <w:pPr>
        <w:rPr>
          <w:sz w:val="22"/>
          <w:szCs w:val="22"/>
        </w:rPr>
      </w:pPr>
    </w:p>
    <w:p w14:paraId="0CE314C5" w14:textId="77777777" w:rsidR="001F6D5C" w:rsidRPr="00CE0424" w:rsidRDefault="001F6D5C" w:rsidP="001F6D5C">
      <w:pPr>
        <w:pStyle w:val="Heading1"/>
      </w:pPr>
      <w:r w:rsidRPr="00CE0424">
        <w:t>Conclusion</w:t>
      </w:r>
    </w:p>
    <w:p w14:paraId="7EA08C79" w14:textId="77777777" w:rsidR="001F6D5C" w:rsidRDefault="001F6D5C" w:rsidP="001F6D5C">
      <w:pPr>
        <w:pStyle w:val="BodyText"/>
        <w:rPr>
          <w:b/>
          <w:bCs/>
        </w:rPr>
      </w:pPr>
      <w:r>
        <w:t>In the previous sections</w:t>
      </w:r>
      <w:r w:rsidRPr="00CE0424">
        <w:t xml:space="preserve"> we </w:t>
      </w:r>
      <w:r>
        <w:t>made the following observations</w:t>
      </w:r>
      <w:r w:rsidRPr="00CE0424">
        <w:t>:</w:t>
      </w:r>
      <w:r>
        <w:rPr>
          <w:b/>
          <w:bCs/>
        </w:rPr>
        <w:t xml:space="preserve"> </w:t>
      </w:r>
    </w:p>
    <w:p w14:paraId="3F90D478" w14:textId="08337F69" w:rsidR="00102A23" w:rsidRDefault="001F6D5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2629824" w:history="1">
        <w:r w:rsidR="00102A23" w:rsidRPr="00041E34">
          <w:rPr>
            <w:rStyle w:val="Hyperlink"/>
            <w:noProof/>
          </w:rPr>
          <w:t>Observation 1</w:t>
        </w:r>
        <w:r w:rsidR="00102A23">
          <w:rPr>
            <w:rFonts w:asciiTheme="minorHAnsi" w:eastAsiaTheme="minorEastAsia" w:hAnsiTheme="minorHAnsi" w:cstheme="minorBidi"/>
            <w:b w:val="0"/>
            <w:noProof/>
            <w:sz w:val="22"/>
            <w:szCs w:val="22"/>
            <w:lang w:val="en-US" w:eastAsia="en-US"/>
          </w:rPr>
          <w:tab/>
        </w:r>
        <w:r w:rsidR="00102A23" w:rsidRPr="00041E34">
          <w:rPr>
            <w:rStyle w:val="Hyperlink"/>
            <w:noProof/>
          </w:rPr>
          <w:t>It is unclear as why Relaxed monitoring needs to be introduced in connected mode when it is known that the NB-I</w:t>
        </w:r>
        <w:r w:rsidR="003B7BEE">
          <w:rPr>
            <w:rStyle w:val="Hyperlink"/>
            <w:noProof/>
          </w:rPr>
          <w:t>o</w:t>
        </w:r>
        <w:r w:rsidR="00102A23" w:rsidRPr="00041E34">
          <w:rPr>
            <w:rStyle w:val="Hyperlink"/>
            <w:noProof/>
          </w:rPr>
          <w:t>T traffic (connected mode) is very short lived. The only objective is to determine whether the UE is mobile or not. If it is mobile, it can initiate neighbor cell measurement else it does not need to do so.</w:t>
        </w:r>
      </w:hyperlink>
    </w:p>
    <w:p w14:paraId="24434700" w14:textId="3197BA3B" w:rsidR="001F6D5C" w:rsidRDefault="001F6D5C" w:rsidP="001F6D5C">
      <w:pPr>
        <w:pStyle w:val="BodyText"/>
        <w:rPr>
          <w:b/>
          <w:bCs/>
        </w:rPr>
      </w:pPr>
      <w:r>
        <w:rPr>
          <w:b/>
          <w:bCs/>
        </w:rPr>
        <w:lastRenderedPageBreak/>
        <w:fldChar w:fldCharType="end"/>
      </w:r>
    </w:p>
    <w:p w14:paraId="44078E49" w14:textId="77777777" w:rsidR="001F6D5C" w:rsidRDefault="001F6D5C" w:rsidP="001F6D5C">
      <w:pPr>
        <w:pStyle w:val="BodyText"/>
      </w:pPr>
      <w:r w:rsidRPr="00CE0424">
        <w:t xml:space="preserve">Based on the discussion in </w:t>
      </w:r>
      <w:r>
        <w:t xml:space="preserve">the previous </w:t>
      </w:r>
      <w:r w:rsidRPr="00CE0424">
        <w:t>section</w:t>
      </w:r>
      <w:r>
        <w:t>s</w:t>
      </w:r>
      <w:r w:rsidRPr="00CE0424">
        <w:t xml:space="preserve"> we propose the following:</w:t>
      </w:r>
    </w:p>
    <w:p w14:paraId="25F1EA47" w14:textId="4F39D9D9" w:rsidR="002C6F13" w:rsidRDefault="001F6D5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629879" w:history="1">
        <w:r w:rsidR="002C6F13" w:rsidRPr="00FD6C4C">
          <w:rPr>
            <w:rStyle w:val="Hyperlink"/>
            <w:noProof/>
          </w:rPr>
          <w:t>Proposal 1</w:t>
        </w:r>
        <w:r w:rsidR="002C6F13">
          <w:rPr>
            <w:rFonts w:asciiTheme="minorHAnsi" w:eastAsiaTheme="minorEastAsia" w:hAnsiTheme="minorHAnsi" w:cstheme="minorBidi"/>
            <w:b w:val="0"/>
            <w:noProof/>
            <w:sz w:val="22"/>
            <w:szCs w:val="22"/>
            <w:lang w:val="en-US" w:eastAsia="en-US"/>
          </w:rPr>
          <w:tab/>
        </w:r>
        <w:r w:rsidR="002C6F13" w:rsidRPr="00FD6C4C">
          <w:rPr>
            <w:rStyle w:val="Hyperlink"/>
            <w:noProof/>
          </w:rPr>
          <w:t>Simple criterion to establish whether UE is mobile or not is introduced rather than introducing relaxed monitoring in connected mode.</w:t>
        </w:r>
      </w:hyperlink>
    </w:p>
    <w:p w14:paraId="4CB562D2" w14:textId="3AABA042" w:rsidR="002C6F13" w:rsidRDefault="003B7BE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629880" w:history="1">
        <w:r w:rsidR="002C6F13" w:rsidRPr="00FD6C4C">
          <w:rPr>
            <w:rStyle w:val="Hyperlink"/>
            <w:noProof/>
          </w:rPr>
          <w:t>Proposal 2</w:t>
        </w:r>
        <w:r w:rsidR="002C6F13">
          <w:rPr>
            <w:rFonts w:asciiTheme="minorHAnsi" w:eastAsiaTheme="minorEastAsia" w:hAnsiTheme="minorHAnsi" w:cstheme="minorBidi"/>
            <w:b w:val="0"/>
            <w:noProof/>
            <w:sz w:val="22"/>
            <w:szCs w:val="22"/>
            <w:lang w:val="en-US" w:eastAsia="en-US"/>
          </w:rPr>
          <w:tab/>
        </w:r>
        <w:r w:rsidR="002C6F13" w:rsidRPr="00FD6C4C">
          <w:rPr>
            <w:rStyle w:val="Hyperlink"/>
            <w:noProof/>
          </w:rPr>
          <w:t>UE mobility history can be used to assess whether neighbo</w:t>
        </w:r>
        <w:r>
          <w:rPr>
            <w:rStyle w:val="Hyperlink"/>
            <w:noProof/>
          </w:rPr>
          <w:t>u</w:t>
        </w:r>
        <w:r w:rsidR="002C6F13" w:rsidRPr="00FD6C4C">
          <w:rPr>
            <w:rStyle w:val="Hyperlink"/>
            <w:noProof/>
          </w:rPr>
          <w:t>r cell measurement is required or not.</w:t>
        </w:r>
      </w:hyperlink>
    </w:p>
    <w:p w14:paraId="3F00D0EF" w14:textId="0190AAB7" w:rsidR="001F6D5C" w:rsidRPr="001F6D5C" w:rsidRDefault="001F6D5C" w:rsidP="001F6D5C">
      <w:pPr>
        <w:rPr>
          <w:lang w:eastAsia="en-GB"/>
        </w:rPr>
      </w:pPr>
      <w:r>
        <w:rPr>
          <w:b/>
          <w:bCs/>
          <w:lang w:val="en-US"/>
        </w:rPr>
        <w:fldChar w:fldCharType="end"/>
      </w:r>
    </w:p>
    <w:p w14:paraId="059E6E6C" w14:textId="77777777" w:rsidR="001F6D5C" w:rsidRDefault="001F6D5C" w:rsidP="002944ED"/>
    <w:p w14:paraId="1098474D" w14:textId="77777777" w:rsidR="00F507D1" w:rsidRPr="00CE0424" w:rsidRDefault="00F507D1" w:rsidP="009108CA">
      <w:pPr>
        <w:pStyle w:val="Heading1"/>
        <w:numPr>
          <w:ilvl w:val="0"/>
          <w:numId w:val="19"/>
        </w:numPr>
        <w:ind w:hanging="810"/>
      </w:pPr>
      <w:bookmarkStart w:id="6" w:name="_In-sequence_SDU_delivery"/>
      <w:bookmarkEnd w:id="6"/>
      <w:r w:rsidRPr="00CE0424">
        <w:t>References</w:t>
      </w:r>
    </w:p>
    <w:p w14:paraId="791CADCD" w14:textId="7FD20BEF" w:rsidR="003A7EF3" w:rsidRPr="000F6A7E" w:rsidRDefault="00F20CAB" w:rsidP="00685DB3">
      <w:pPr>
        <w:pStyle w:val="Reference"/>
        <w:rPr>
          <w:rStyle w:val="eop"/>
        </w:rPr>
      </w:pPr>
      <w:bookmarkStart w:id="7" w:name="_Ref174151459"/>
      <w:bookmarkStart w:id="8" w:name="_Ref189809556"/>
      <w:r w:rsidRPr="008332D6">
        <w:rPr>
          <w:rStyle w:val="normaltextrun"/>
          <w:rFonts w:cs="Arial"/>
          <w:color w:val="000000"/>
          <w:sz w:val="22"/>
          <w:szCs w:val="22"/>
          <w:u w:val="single"/>
          <w:shd w:val="clear" w:color="auto" w:fill="E1E3E6"/>
        </w:rPr>
        <w:t>RP-201306</w:t>
      </w:r>
      <w:r w:rsidRPr="008332D6">
        <w:rPr>
          <w:rStyle w:val="normaltextrun"/>
          <w:rFonts w:cs="Arial"/>
          <w:sz w:val="22"/>
          <w:szCs w:val="22"/>
        </w:rPr>
        <w:t>, “WID revision: Additional enhancements for NB-IoT and LTE-MTC”, RAN #88e, Electronic Meeting, June 29</w:t>
      </w:r>
      <w:r w:rsidRPr="008332D6">
        <w:rPr>
          <w:rStyle w:val="normaltextrun"/>
          <w:rFonts w:cs="Arial"/>
          <w:sz w:val="17"/>
          <w:szCs w:val="17"/>
          <w:vertAlign w:val="superscript"/>
        </w:rPr>
        <w:t xml:space="preserve">th </w:t>
      </w:r>
      <w:r w:rsidRPr="008332D6">
        <w:rPr>
          <w:rStyle w:val="normaltextrun"/>
          <w:rFonts w:cs="Arial"/>
          <w:sz w:val="22"/>
          <w:szCs w:val="22"/>
        </w:rPr>
        <w:t>– July 3</w:t>
      </w:r>
      <w:r w:rsidRPr="008332D6">
        <w:rPr>
          <w:rStyle w:val="normaltextrun"/>
          <w:rFonts w:cs="Arial"/>
          <w:sz w:val="17"/>
          <w:szCs w:val="17"/>
          <w:vertAlign w:val="superscript"/>
        </w:rPr>
        <w:t>rd</w:t>
      </w:r>
      <w:r w:rsidRPr="008332D6">
        <w:rPr>
          <w:rStyle w:val="normaltextrun"/>
          <w:rFonts w:cs="Arial"/>
          <w:sz w:val="22"/>
          <w:szCs w:val="22"/>
        </w:rPr>
        <w:t>, 2020.</w:t>
      </w:r>
      <w:r w:rsidRPr="008332D6">
        <w:rPr>
          <w:rStyle w:val="eop"/>
          <w:rFonts w:cs="Arial"/>
          <w:sz w:val="22"/>
          <w:szCs w:val="22"/>
        </w:rPr>
        <w:t> </w:t>
      </w:r>
      <w:bookmarkEnd w:id="7"/>
      <w:bookmarkEnd w:id="8"/>
    </w:p>
    <w:p w14:paraId="3820BFD8" w14:textId="2F583022" w:rsidR="000F6A7E" w:rsidRPr="00CE0424" w:rsidRDefault="000F6A7E" w:rsidP="000F6A7E">
      <w:pPr>
        <w:pStyle w:val="Reference"/>
      </w:pPr>
      <w:bookmarkStart w:id="9" w:name="_Ref69903966"/>
      <w:r w:rsidRPr="004A03DE">
        <w:t>R4-2105800</w:t>
      </w:r>
      <w:r>
        <w:tab/>
      </w:r>
      <w:r>
        <w:tab/>
      </w:r>
      <w:r w:rsidRPr="004A03DE">
        <w:t>Reply LS on neighbour cell measurement in NB-IoT RRC_CONNECTED state, RAN4, April 2021</w:t>
      </w:r>
      <w:bookmarkEnd w:id="9"/>
    </w:p>
    <w:sectPr w:rsidR="000F6A7E"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62A0E" w14:textId="77777777" w:rsidR="00C117BD" w:rsidRDefault="00C117BD">
      <w:r>
        <w:separator/>
      </w:r>
    </w:p>
  </w:endnote>
  <w:endnote w:type="continuationSeparator" w:id="0">
    <w:p w14:paraId="2EBACBD2" w14:textId="77777777" w:rsidR="00C117BD" w:rsidRDefault="00C117BD">
      <w:r>
        <w:continuationSeparator/>
      </w:r>
    </w:p>
  </w:endnote>
  <w:endnote w:type="continuationNotice" w:id="1">
    <w:p w14:paraId="19592DC3" w14:textId="77777777" w:rsidR="00C117BD" w:rsidRDefault="00C11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18FEB" w14:textId="77777777" w:rsidR="00032B87" w:rsidRDefault="00032B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98FA5" w14:textId="77777777" w:rsidR="00C117BD" w:rsidRDefault="00C117BD">
      <w:r>
        <w:separator/>
      </w:r>
    </w:p>
  </w:footnote>
  <w:footnote w:type="continuationSeparator" w:id="0">
    <w:p w14:paraId="5E4D7862" w14:textId="77777777" w:rsidR="00C117BD" w:rsidRDefault="00C117BD">
      <w:r>
        <w:continuationSeparator/>
      </w:r>
    </w:p>
  </w:footnote>
  <w:footnote w:type="continuationNotice" w:id="1">
    <w:p w14:paraId="517D7F97" w14:textId="77777777" w:rsidR="00C117BD" w:rsidRDefault="00C11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963D9" w14:textId="77777777" w:rsidR="00032B87" w:rsidRDefault="00032B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826DC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7C8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C664C"/>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DA78E9"/>
    <w:multiLevelType w:val="hybridMultilevel"/>
    <w:tmpl w:val="D4206FA8"/>
    <w:lvl w:ilvl="0" w:tplc="D9FE5F7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54100D8"/>
    <w:multiLevelType w:val="hybridMultilevel"/>
    <w:tmpl w:val="7C9E3B14"/>
    <w:lvl w:ilvl="0" w:tplc="C01EC666">
      <w:start w:val="9"/>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hint="default"/>
      </w:rPr>
    </w:lvl>
    <w:lvl w:ilvl="1" w:tplc="79C62ACC">
      <w:start w:val="1"/>
      <w:numFmt w:val="bullet"/>
      <w:lvlText w:val="•"/>
      <w:lvlJc w:val="left"/>
      <w:pPr>
        <w:tabs>
          <w:tab w:val="num" w:pos="1440"/>
        </w:tabs>
        <w:ind w:left="1440" w:hanging="360"/>
      </w:pPr>
      <w:rPr>
        <w:rFonts w:ascii="Arial" w:hAnsi="Arial" w:hint="default"/>
      </w:rPr>
    </w:lvl>
    <w:lvl w:ilvl="2" w:tplc="606A195C" w:tentative="1">
      <w:start w:val="1"/>
      <w:numFmt w:val="bullet"/>
      <w:lvlText w:val="•"/>
      <w:lvlJc w:val="left"/>
      <w:pPr>
        <w:tabs>
          <w:tab w:val="num" w:pos="2160"/>
        </w:tabs>
        <w:ind w:left="2160" w:hanging="360"/>
      </w:pPr>
      <w:rPr>
        <w:rFonts w:ascii="Arial" w:hAnsi="Arial" w:hint="default"/>
      </w:rPr>
    </w:lvl>
    <w:lvl w:ilvl="3" w:tplc="273A344A" w:tentative="1">
      <w:start w:val="1"/>
      <w:numFmt w:val="bullet"/>
      <w:lvlText w:val="•"/>
      <w:lvlJc w:val="left"/>
      <w:pPr>
        <w:tabs>
          <w:tab w:val="num" w:pos="2880"/>
        </w:tabs>
        <w:ind w:left="2880" w:hanging="360"/>
      </w:pPr>
      <w:rPr>
        <w:rFonts w:ascii="Arial" w:hAnsi="Arial" w:hint="default"/>
      </w:rPr>
    </w:lvl>
    <w:lvl w:ilvl="4" w:tplc="5C2434DC" w:tentative="1">
      <w:start w:val="1"/>
      <w:numFmt w:val="bullet"/>
      <w:lvlText w:val="•"/>
      <w:lvlJc w:val="left"/>
      <w:pPr>
        <w:tabs>
          <w:tab w:val="num" w:pos="3600"/>
        </w:tabs>
        <w:ind w:left="3600" w:hanging="360"/>
      </w:pPr>
      <w:rPr>
        <w:rFonts w:ascii="Arial" w:hAnsi="Arial" w:hint="default"/>
      </w:rPr>
    </w:lvl>
    <w:lvl w:ilvl="5" w:tplc="46BC02D6" w:tentative="1">
      <w:start w:val="1"/>
      <w:numFmt w:val="bullet"/>
      <w:lvlText w:val="•"/>
      <w:lvlJc w:val="left"/>
      <w:pPr>
        <w:tabs>
          <w:tab w:val="num" w:pos="4320"/>
        </w:tabs>
        <w:ind w:left="4320" w:hanging="360"/>
      </w:pPr>
      <w:rPr>
        <w:rFonts w:ascii="Arial" w:hAnsi="Arial" w:hint="default"/>
      </w:rPr>
    </w:lvl>
    <w:lvl w:ilvl="6" w:tplc="236E9F42" w:tentative="1">
      <w:start w:val="1"/>
      <w:numFmt w:val="bullet"/>
      <w:lvlText w:val="•"/>
      <w:lvlJc w:val="left"/>
      <w:pPr>
        <w:tabs>
          <w:tab w:val="num" w:pos="5040"/>
        </w:tabs>
        <w:ind w:left="5040" w:hanging="360"/>
      </w:pPr>
      <w:rPr>
        <w:rFonts w:ascii="Arial" w:hAnsi="Arial" w:hint="default"/>
      </w:rPr>
    </w:lvl>
    <w:lvl w:ilvl="7" w:tplc="43DCBDE0" w:tentative="1">
      <w:start w:val="1"/>
      <w:numFmt w:val="bullet"/>
      <w:lvlText w:val="•"/>
      <w:lvlJc w:val="left"/>
      <w:pPr>
        <w:tabs>
          <w:tab w:val="num" w:pos="5760"/>
        </w:tabs>
        <w:ind w:left="5760" w:hanging="360"/>
      </w:pPr>
      <w:rPr>
        <w:rFonts w:ascii="Arial" w:hAnsi="Arial" w:hint="default"/>
      </w:rPr>
    </w:lvl>
    <w:lvl w:ilvl="8" w:tplc="CCB265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B2A495B"/>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44899"/>
    <w:multiLevelType w:val="hybridMultilevel"/>
    <w:tmpl w:val="CCA8EEB8"/>
    <w:lvl w:ilvl="0" w:tplc="D7E8634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D1C87558"/>
    <w:lvl w:ilvl="0" w:tplc="4C28F51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287DB1"/>
    <w:multiLevelType w:val="multilevel"/>
    <w:tmpl w:val="D1262A98"/>
    <w:lvl w:ilvl="0">
      <w:start w:val="1"/>
      <w:numFmt w:val="decimal"/>
      <w:lvlText w:val="%1"/>
      <w:lvlJc w:val="left"/>
      <w:pPr>
        <w:ind w:left="720" w:hanging="360"/>
      </w:pPr>
      <w:rPr>
        <w:rFonts w:hint="eastAsia"/>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AC1213"/>
    <w:multiLevelType w:val="hybridMultilevel"/>
    <w:tmpl w:val="2EC0CC9A"/>
    <w:lvl w:ilvl="0" w:tplc="4C0AA180">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7664A4"/>
    <w:multiLevelType w:val="hybridMultilevel"/>
    <w:tmpl w:val="5CA0E76A"/>
    <w:lvl w:ilvl="0" w:tplc="4C0AA180">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6968F5"/>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2"/>
  </w:num>
  <w:num w:numId="4">
    <w:abstractNumId w:val="21"/>
  </w:num>
  <w:num w:numId="5">
    <w:abstractNumId w:val="22"/>
  </w:num>
  <w:num w:numId="6">
    <w:abstractNumId w:val="23"/>
  </w:num>
  <w:num w:numId="7">
    <w:abstractNumId w:val="13"/>
  </w:num>
  <w:num w:numId="8">
    <w:abstractNumId w:val="15"/>
  </w:num>
  <w:num w:numId="9">
    <w:abstractNumId w:val="6"/>
  </w:num>
  <w:num w:numId="10">
    <w:abstractNumId w:val="26"/>
  </w:num>
  <w:num w:numId="11">
    <w:abstractNumId w:val="16"/>
  </w:num>
  <w:num w:numId="12">
    <w:abstractNumId w:val="24"/>
  </w:num>
  <w:num w:numId="13">
    <w:abstractNumId w:val="10"/>
  </w:num>
  <w:num w:numId="14">
    <w:abstractNumId w:val="25"/>
  </w:num>
  <w:num w:numId="15">
    <w:abstractNumId w:val="12"/>
  </w:num>
  <w:num w:numId="16">
    <w:abstractNumId w:val="8"/>
  </w:num>
  <w:num w:numId="17">
    <w:abstractNumId w:val="7"/>
  </w:num>
  <w:num w:numId="18">
    <w:abstractNumId w:val="4"/>
  </w:num>
  <w:num w:numId="19">
    <w:abstractNumId w:val="19"/>
  </w:num>
  <w:num w:numId="20">
    <w:abstractNumId w:val="11"/>
  </w:num>
  <w:num w:numId="21">
    <w:abstractNumId w:val="17"/>
  </w:num>
  <w:num w:numId="22">
    <w:abstractNumId w:val="27"/>
  </w:num>
  <w:num w:numId="23">
    <w:abstractNumId w:val="29"/>
  </w:num>
  <w:num w:numId="24">
    <w:abstractNumId w:val="3"/>
  </w:num>
  <w:num w:numId="25">
    <w:abstractNumId w:val="9"/>
  </w:num>
  <w:num w:numId="26">
    <w:abstractNumId w:val="14"/>
  </w:num>
  <w:num w:numId="27">
    <w:abstractNumId w:val="30"/>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8"/>
  </w:num>
  <w:num w:numId="32">
    <w:abstractNumId w:val="25"/>
  </w:num>
  <w:num w:numId="33">
    <w:abstractNumId w:val="5"/>
  </w:num>
  <w:num w:numId="34">
    <w:abstractNumId w:val="1"/>
  </w:num>
  <w:num w:numId="3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896"/>
    <w:rsid w:val="00006971"/>
    <w:rsid w:val="00007CDC"/>
    <w:rsid w:val="00011B28"/>
    <w:rsid w:val="00015D15"/>
    <w:rsid w:val="0002423D"/>
    <w:rsid w:val="0002564D"/>
    <w:rsid w:val="00025ECA"/>
    <w:rsid w:val="00030687"/>
    <w:rsid w:val="000325B8"/>
    <w:rsid w:val="00032B87"/>
    <w:rsid w:val="00034C15"/>
    <w:rsid w:val="00035FA2"/>
    <w:rsid w:val="0003669C"/>
    <w:rsid w:val="00036BA1"/>
    <w:rsid w:val="000422E2"/>
    <w:rsid w:val="00042F22"/>
    <w:rsid w:val="0004314F"/>
    <w:rsid w:val="000444EF"/>
    <w:rsid w:val="00045463"/>
    <w:rsid w:val="00046B90"/>
    <w:rsid w:val="00050A97"/>
    <w:rsid w:val="00052A07"/>
    <w:rsid w:val="000534E3"/>
    <w:rsid w:val="00054D83"/>
    <w:rsid w:val="0005606A"/>
    <w:rsid w:val="00056BF5"/>
    <w:rsid w:val="00057117"/>
    <w:rsid w:val="000616E7"/>
    <w:rsid w:val="00062C08"/>
    <w:rsid w:val="000632F2"/>
    <w:rsid w:val="0006487E"/>
    <w:rsid w:val="00065E1A"/>
    <w:rsid w:val="0006739D"/>
    <w:rsid w:val="00070049"/>
    <w:rsid w:val="00077E5F"/>
    <w:rsid w:val="0008036A"/>
    <w:rsid w:val="00081AE6"/>
    <w:rsid w:val="00084178"/>
    <w:rsid w:val="000855EB"/>
    <w:rsid w:val="00085B52"/>
    <w:rsid w:val="000866F2"/>
    <w:rsid w:val="00087896"/>
    <w:rsid w:val="0009009F"/>
    <w:rsid w:val="00091557"/>
    <w:rsid w:val="000924C1"/>
    <w:rsid w:val="000924F0"/>
    <w:rsid w:val="00093474"/>
    <w:rsid w:val="0009510F"/>
    <w:rsid w:val="000A1B7B"/>
    <w:rsid w:val="000A56F2"/>
    <w:rsid w:val="000B2719"/>
    <w:rsid w:val="000B3A8F"/>
    <w:rsid w:val="000B45BE"/>
    <w:rsid w:val="000B4AB9"/>
    <w:rsid w:val="000B58C3"/>
    <w:rsid w:val="000B61E9"/>
    <w:rsid w:val="000C165A"/>
    <w:rsid w:val="000C28CC"/>
    <w:rsid w:val="000C2E19"/>
    <w:rsid w:val="000C7A86"/>
    <w:rsid w:val="000D0D07"/>
    <w:rsid w:val="000D4797"/>
    <w:rsid w:val="000D7B6C"/>
    <w:rsid w:val="000E0527"/>
    <w:rsid w:val="000E1E92"/>
    <w:rsid w:val="000E42C5"/>
    <w:rsid w:val="000E5F42"/>
    <w:rsid w:val="000E6921"/>
    <w:rsid w:val="000F06D6"/>
    <w:rsid w:val="000F0EB1"/>
    <w:rsid w:val="000F1106"/>
    <w:rsid w:val="000F3BE9"/>
    <w:rsid w:val="000F3F6C"/>
    <w:rsid w:val="000F6A7E"/>
    <w:rsid w:val="000F6DF3"/>
    <w:rsid w:val="000F75EC"/>
    <w:rsid w:val="001005FF"/>
    <w:rsid w:val="00101F46"/>
    <w:rsid w:val="00102A23"/>
    <w:rsid w:val="001062FB"/>
    <w:rsid w:val="001063E6"/>
    <w:rsid w:val="00113CF4"/>
    <w:rsid w:val="001153EA"/>
    <w:rsid w:val="00115643"/>
    <w:rsid w:val="00116765"/>
    <w:rsid w:val="00121375"/>
    <w:rsid w:val="001219F5"/>
    <w:rsid w:val="00121A20"/>
    <w:rsid w:val="0012377F"/>
    <w:rsid w:val="00124314"/>
    <w:rsid w:val="00126B4A"/>
    <w:rsid w:val="00127513"/>
    <w:rsid w:val="00132FD0"/>
    <w:rsid w:val="001344C0"/>
    <w:rsid w:val="001346FA"/>
    <w:rsid w:val="00135252"/>
    <w:rsid w:val="00135272"/>
    <w:rsid w:val="00137AB5"/>
    <w:rsid w:val="00137F0B"/>
    <w:rsid w:val="00142183"/>
    <w:rsid w:val="00150327"/>
    <w:rsid w:val="00151E23"/>
    <w:rsid w:val="001526E0"/>
    <w:rsid w:val="001531A1"/>
    <w:rsid w:val="001551B5"/>
    <w:rsid w:val="0015552E"/>
    <w:rsid w:val="001659C1"/>
    <w:rsid w:val="0016664F"/>
    <w:rsid w:val="00166AFD"/>
    <w:rsid w:val="0017180F"/>
    <w:rsid w:val="00171AAF"/>
    <w:rsid w:val="00173A8E"/>
    <w:rsid w:val="0017502C"/>
    <w:rsid w:val="0018143F"/>
    <w:rsid w:val="00181FF8"/>
    <w:rsid w:val="00182616"/>
    <w:rsid w:val="0018265B"/>
    <w:rsid w:val="00190AC1"/>
    <w:rsid w:val="0019341A"/>
    <w:rsid w:val="001955D1"/>
    <w:rsid w:val="0019560A"/>
    <w:rsid w:val="00197AB3"/>
    <w:rsid w:val="00197DF9"/>
    <w:rsid w:val="001A0C5F"/>
    <w:rsid w:val="001A1987"/>
    <w:rsid w:val="001A1C4B"/>
    <w:rsid w:val="001A2564"/>
    <w:rsid w:val="001A2C06"/>
    <w:rsid w:val="001A3AC7"/>
    <w:rsid w:val="001A5EA9"/>
    <w:rsid w:val="001A6173"/>
    <w:rsid w:val="001A6CBA"/>
    <w:rsid w:val="001B0D97"/>
    <w:rsid w:val="001B545E"/>
    <w:rsid w:val="001B5A5D"/>
    <w:rsid w:val="001B6F41"/>
    <w:rsid w:val="001B7647"/>
    <w:rsid w:val="001C1CE5"/>
    <w:rsid w:val="001C3D2A"/>
    <w:rsid w:val="001C6EFF"/>
    <w:rsid w:val="001D51BA"/>
    <w:rsid w:val="001D53E7"/>
    <w:rsid w:val="001D6342"/>
    <w:rsid w:val="001D6D53"/>
    <w:rsid w:val="001E3471"/>
    <w:rsid w:val="001E58E2"/>
    <w:rsid w:val="001E6FC6"/>
    <w:rsid w:val="001E7AED"/>
    <w:rsid w:val="001F0497"/>
    <w:rsid w:val="001F23F9"/>
    <w:rsid w:val="001F2F40"/>
    <w:rsid w:val="001F3916"/>
    <w:rsid w:val="001F3D62"/>
    <w:rsid w:val="001F54C5"/>
    <w:rsid w:val="001F6029"/>
    <w:rsid w:val="001F662C"/>
    <w:rsid w:val="001F6D5C"/>
    <w:rsid w:val="001F7074"/>
    <w:rsid w:val="00200490"/>
    <w:rsid w:val="00201F3A"/>
    <w:rsid w:val="00203F96"/>
    <w:rsid w:val="002069B2"/>
    <w:rsid w:val="00206AF1"/>
    <w:rsid w:val="00207FA3"/>
    <w:rsid w:val="00214DA8"/>
    <w:rsid w:val="00215423"/>
    <w:rsid w:val="002158FA"/>
    <w:rsid w:val="00220600"/>
    <w:rsid w:val="002224DB"/>
    <w:rsid w:val="00223FCB"/>
    <w:rsid w:val="00224D64"/>
    <w:rsid w:val="002252C3"/>
    <w:rsid w:val="00225C54"/>
    <w:rsid w:val="00230765"/>
    <w:rsid w:val="00230D18"/>
    <w:rsid w:val="00230F86"/>
    <w:rsid w:val="0023116E"/>
    <w:rsid w:val="002319E4"/>
    <w:rsid w:val="00235632"/>
    <w:rsid w:val="00235872"/>
    <w:rsid w:val="00241559"/>
    <w:rsid w:val="002435B3"/>
    <w:rsid w:val="002458EB"/>
    <w:rsid w:val="00247A71"/>
    <w:rsid w:val="002500C8"/>
    <w:rsid w:val="002573AB"/>
    <w:rsid w:val="00257543"/>
    <w:rsid w:val="0025786A"/>
    <w:rsid w:val="002617E7"/>
    <w:rsid w:val="00264228"/>
    <w:rsid w:val="00264334"/>
    <w:rsid w:val="0026473E"/>
    <w:rsid w:val="00266214"/>
    <w:rsid w:val="00267C83"/>
    <w:rsid w:val="002702A0"/>
    <w:rsid w:val="0027144F"/>
    <w:rsid w:val="00271813"/>
    <w:rsid w:val="00271F3A"/>
    <w:rsid w:val="00273278"/>
    <w:rsid w:val="002737F4"/>
    <w:rsid w:val="002805F5"/>
    <w:rsid w:val="00280751"/>
    <w:rsid w:val="00280E8F"/>
    <w:rsid w:val="00280FF1"/>
    <w:rsid w:val="002822CF"/>
    <w:rsid w:val="00282680"/>
    <w:rsid w:val="00282779"/>
    <w:rsid w:val="0028280A"/>
    <w:rsid w:val="00282F8F"/>
    <w:rsid w:val="00286ACD"/>
    <w:rsid w:val="00287838"/>
    <w:rsid w:val="002907B5"/>
    <w:rsid w:val="00292EB7"/>
    <w:rsid w:val="0029371C"/>
    <w:rsid w:val="002944ED"/>
    <w:rsid w:val="002952B8"/>
    <w:rsid w:val="00296227"/>
    <w:rsid w:val="00296F44"/>
    <w:rsid w:val="0029777D"/>
    <w:rsid w:val="002A055E"/>
    <w:rsid w:val="002A1D4E"/>
    <w:rsid w:val="002A2869"/>
    <w:rsid w:val="002A3775"/>
    <w:rsid w:val="002A3BED"/>
    <w:rsid w:val="002A7A3C"/>
    <w:rsid w:val="002B24D6"/>
    <w:rsid w:val="002B4175"/>
    <w:rsid w:val="002B46E2"/>
    <w:rsid w:val="002C1E46"/>
    <w:rsid w:val="002C28DD"/>
    <w:rsid w:val="002C41E6"/>
    <w:rsid w:val="002C6875"/>
    <w:rsid w:val="002C6F13"/>
    <w:rsid w:val="002D071A"/>
    <w:rsid w:val="002D1CA3"/>
    <w:rsid w:val="002D34B2"/>
    <w:rsid w:val="002D48B0"/>
    <w:rsid w:val="002D5B37"/>
    <w:rsid w:val="002D7637"/>
    <w:rsid w:val="002D7682"/>
    <w:rsid w:val="002E17F2"/>
    <w:rsid w:val="002E7CAE"/>
    <w:rsid w:val="002F2771"/>
    <w:rsid w:val="002F37A9"/>
    <w:rsid w:val="002F4897"/>
    <w:rsid w:val="002F59E4"/>
    <w:rsid w:val="003003EA"/>
    <w:rsid w:val="00301990"/>
    <w:rsid w:val="00301CE6"/>
    <w:rsid w:val="0030256B"/>
    <w:rsid w:val="00302F82"/>
    <w:rsid w:val="0030501F"/>
    <w:rsid w:val="00307BA1"/>
    <w:rsid w:val="00311702"/>
    <w:rsid w:val="00311E82"/>
    <w:rsid w:val="00313FD6"/>
    <w:rsid w:val="003143BD"/>
    <w:rsid w:val="00315363"/>
    <w:rsid w:val="003203ED"/>
    <w:rsid w:val="00320824"/>
    <w:rsid w:val="00322813"/>
    <w:rsid w:val="00322C9F"/>
    <w:rsid w:val="00324D23"/>
    <w:rsid w:val="00330E46"/>
    <w:rsid w:val="00331751"/>
    <w:rsid w:val="00334579"/>
    <w:rsid w:val="00335858"/>
    <w:rsid w:val="00336BDA"/>
    <w:rsid w:val="00337352"/>
    <w:rsid w:val="00342BD7"/>
    <w:rsid w:val="00346DB5"/>
    <w:rsid w:val="003477B1"/>
    <w:rsid w:val="0035040A"/>
    <w:rsid w:val="00357380"/>
    <w:rsid w:val="00357CC4"/>
    <w:rsid w:val="003602D9"/>
    <w:rsid w:val="003604CE"/>
    <w:rsid w:val="0036178A"/>
    <w:rsid w:val="003620EE"/>
    <w:rsid w:val="003675ED"/>
    <w:rsid w:val="00370E47"/>
    <w:rsid w:val="003728B6"/>
    <w:rsid w:val="00373657"/>
    <w:rsid w:val="003742AC"/>
    <w:rsid w:val="00377CE1"/>
    <w:rsid w:val="00380EF9"/>
    <w:rsid w:val="00381C29"/>
    <w:rsid w:val="00385BF0"/>
    <w:rsid w:val="00387EB7"/>
    <w:rsid w:val="00391C3E"/>
    <w:rsid w:val="003939FF"/>
    <w:rsid w:val="003A2223"/>
    <w:rsid w:val="003A2A0F"/>
    <w:rsid w:val="003A45A1"/>
    <w:rsid w:val="003A5B0A"/>
    <w:rsid w:val="003A6BAC"/>
    <w:rsid w:val="003A70A4"/>
    <w:rsid w:val="003A7EF3"/>
    <w:rsid w:val="003B0152"/>
    <w:rsid w:val="003B090F"/>
    <w:rsid w:val="003B159C"/>
    <w:rsid w:val="003B303E"/>
    <w:rsid w:val="003B369F"/>
    <w:rsid w:val="003B36A3"/>
    <w:rsid w:val="003B64BB"/>
    <w:rsid w:val="003B7BEE"/>
    <w:rsid w:val="003B7FE5"/>
    <w:rsid w:val="003C11C8"/>
    <w:rsid w:val="003C2702"/>
    <w:rsid w:val="003C7806"/>
    <w:rsid w:val="003D109F"/>
    <w:rsid w:val="003D2478"/>
    <w:rsid w:val="003D3C45"/>
    <w:rsid w:val="003D5B1F"/>
    <w:rsid w:val="003D6E06"/>
    <w:rsid w:val="003E15FA"/>
    <w:rsid w:val="003E44B6"/>
    <w:rsid w:val="003E55E4"/>
    <w:rsid w:val="003E56B7"/>
    <w:rsid w:val="003E74E3"/>
    <w:rsid w:val="003F05C7"/>
    <w:rsid w:val="003F2CD4"/>
    <w:rsid w:val="003F6BBE"/>
    <w:rsid w:val="003F7D3C"/>
    <w:rsid w:val="004000E8"/>
    <w:rsid w:val="00401CA4"/>
    <w:rsid w:val="00402E2B"/>
    <w:rsid w:val="00403245"/>
    <w:rsid w:val="0040512B"/>
    <w:rsid w:val="00405CA5"/>
    <w:rsid w:val="00406478"/>
    <w:rsid w:val="00406E3C"/>
    <w:rsid w:val="00407CD3"/>
    <w:rsid w:val="00410134"/>
    <w:rsid w:val="00410B72"/>
    <w:rsid w:val="00410F18"/>
    <w:rsid w:val="0041263E"/>
    <w:rsid w:val="00413AAC"/>
    <w:rsid w:val="00413E92"/>
    <w:rsid w:val="00416F0A"/>
    <w:rsid w:val="00420792"/>
    <w:rsid w:val="00421105"/>
    <w:rsid w:val="00422AA4"/>
    <w:rsid w:val="004242F4"/>
    <w:rsid w:val="004252F0"/>
    <w:rsid w:val="00427248"/>
    <w:rsid w:val="00437447"/>
    <w:rsid w:val="00441A92"/>
    <w:rsid w:val="004430BF"/>
    <w:rsid w:val="004431DC"/>
    <w:rsid w:val="004447AA"/>
    <w:rsid w:val="00444F56"/>
    <w:rsid w:val="00446488"/>
    <w:rsid w:val="004517AA"/>
    <w:rsid w:val="00452CAC"/>
    <w:rsid w:val="00453281"/>
    <w:rsid w:val="00457565"/>
    <w:rsid w:val="00457B71"/>
    <w:rsid w:val="0046627F"/>
    <w:rsid w:val="004669E2"/>
    <w:rsid w:val="00467505"/>
    <w:rsid w:val="00470C31"/>
    <w:rsid w:val="00471DE0"/>
    <w:rsid w:val="004734D0"/>
    <w:rsid w:val="00473564"/>
    <w:rsid w:val="0047556B"/>
    <w:rsid w:val="00475698"/>
    <w:rsid w:val="00475962"/>
    <w:rsid w:val="00477768"/>
    <w:rsid w:val="0049133F"/>
    <w:rsid w:val="00492BC5"/>
    <w:rsid w:val="00492F8F"/>
    <w:rsid w:val="004964F1"/>
    <w:rsid w:val="004A16BC"/>
    <w:rsid w:val="004A2B94"/>
    <w:rsid w:val="004A6DCE"/>
    <w:rsid w:val="004B254B"/>
    <w:rsid w:val="004B6F6A"/>
    <w:rsid w:val="004B7C0C"/>
    <w:rsid w:val="004C1400"/>
    <w:rsid w:val="004C3898"/>
    <w:rsid w:val="004D36B1"/>
    <w:rsid w:val="004D7EBD"/>
    <w:rsid w:val="004E061E"/>
    <w:rsid w:val="004E0ADC"/>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CC1"/>
    <w:rsid w:val="00546970"/>
    <w:rsid w:val="00546F1A"/>
    <w:rsid w:val="005522F3"/>
    <w:rsid w:val="00554E19"/>
    <w:rsid w:val="00560282"/>
    <w:rsid w:val="0056121F"/>
    <w:rsid w:val="00564D0E"/>
    <w:rsid w:val="00572505"/>
    <w:rsid w:val="00573EBC"/>
    <w:rsid w:val="00574098"/>
    <w:rsid w:val="0057613F"/>
    <w:rsid w:val="00582809"/>
    <w:rsid w:val="00585CA6"/>
    <w:rsid w:val="0058798C"/>
    <w:rsid w:val="005900FA"/>
    <w:rsid w:val="00592415"/>
    <w:rsid w:val="005935A4"/>
    <w:rsid w:val="005948C2"/>
    <w:rsid w:val="00595DCA"/>
    <w:rsid w:val="0059604E"/>
    <w:rsid w:val="0059779B"/>
    <w:rsid w:val="005A209A"/>
    <w:rsid w:val="005A662D"/>
    <w:rsid w:val="005B1409"/>
    <w:rsid w:val="005B35D7"/>
    <w:rsid w:val="005B392A"/>
    <w:rsid w:val="005B3AA3"/>
    <w:rsid w:val="005B6F83"/>
    <w:rsid w:val="005C3FE7"/>
    <w:rsid w:val="005C4CD8"/>
    <w:rsid w:val="005C74FB"/>
    <w:rsid w:val="005D0357"/>
    <w:rsid w:val="005D1602"/>
    <w:rsid w:val="005D774E"/>
    <w:rsid w:val="005E25E5"/>
    <w:rsid w:val="005E385F"/>
    <w:rsid w:val="005E5B81"/>
    <w:rsid w:val="005E7A51"/>
    <w:rsid w:val="005F2CB1"/>
    <w:rsid w:val="005F3025"/>
    <w:rsid w:val="005F618C"/>
    <w:rsid w:val="005F70BD"/>
    <w:rsid w:val="005F788C"/>
    <w:rsid w:val="005F7FA7"/>
    <w:rsid w:val="0060283C"/>
    <w:rsid w:val="00604387"/>
    <w:rsid w:val="00604F14"/>
    <w:rsid w:val="00611B83"/>
    <w:rsid w:val="006126BE"/>
    <w:rsid w:val="00612A02"/>
    <w:rsid w:val="00613257"/>
    <w:rsid w:val="00615DDB"/>
    <w:rsid w:val="00616471"/>
    <w:rsid w:val="00620A71"/>
    <w:rsid w:val="00620D80"/>
    <w:rsid w:val="00621BED"/>
    <w:rsid w:val="006234A6"/>
    <w:rsid w:val="00626C82"/>
    <w:rsid w:val="00630001"/>
    <w:rsid w:val="006311B3"/>
    <w:rsid w:val="0063284C"/>
    <w:rsid w:val="00636398"/>
    <w:rsid w:val="006368D3"/>
    <w:rsid w:val="006377EC"/>
    <w:rsid w:val="006403D7"/>
    <w:rsid w:val="0064151F"/>
    <w:rsid w:val="00641533"/>
    <w:rsid w:val="0064208D"/>
    <w:rsid w:val="00643475"/>
    <w:rsid w:val="0064396A"/>
    <w:rsid w:val="0064624E"/>
    <w:rsid w:val="00650AB9"/>
    <w:rsid w:val="00655733"/>
    <w:rsid w:val="00655ACD"/>
    <w:rsid w:val="00656A92"/>
    <w:rsid w:val="00656DDE"/>
    <w:rsid w:val="0066011D"/>
    <w:rsid w:val="006607C0"/>
    <w:rsid w:val="006610F0"/>
    <w:rsid w:val="006613A6"/>
    <w:rsid w:val="0066192C"/>
    <w:rsid w:val="00661B21"/>
    <w:rsid w:val="006627A2"/>
    <w:rsid w:val="006628C3"/>
    <w:rsid w:val="00663245"/>
    <w:rsid w:val="006634E6"/>
    <w:rsid w:val="00664489"/>
    <w:rsid w:val="006655EE"/>
    <w:rsid w:val="00667EE7"/>
    <w:rsid w:val="00670922"/>
    <w:rsid w:val="00670BE1"/>
    <w:rsid w:val="0067218F"/>
    <w:rsid w:val="006741F2"/>
    <w:rsid w:val="0067458B"/>
    <w:rsid w:val="00674CC3"/>
    <w:rsid w:val="00675699"/>
    <w:rsid w:val="00675C72"/>
    <w:rsid w:val="006771F9"/>
    <w:rsid w:val="006776D7"/>
    <w:rsid w:val="00681003"/>
    <w:rsid w:val="006817C9"/>
    <w:rsid w:val="006830DC"/>
    <w:rsid w:val="00683ECE"/>
    <w:rsid w:val="00684A89"/>
    <w:rsid w:val="00684AE2"/>
    <w:rsid w:val="00684B51"/>
    <w:rsid w:val="00685C19"/>
    <w:rsid w:val="00687E60"/>
    <w:rsid w:val="0069258B"/>
    <w:rsid w:val="00695FC2"/>
    <w:rsid w:val="00696949"/>
    <w:rsid w:val="00697052"/>
    <w:rsid w:val="006A46FB"/>
    <w:rsid w:val="006A5CE2"/>
    <w:rsid w:val="006A5E28"/>
    <w:rsid w:val="006A697B"/>
    <w:rsid w:val="006A7AFF"/>
    <w:rsid w:val="006B0B6B"/>
    <w:rsid w:val="006B1816"/>
    <w:rsid w:val="006B1C12"/>
    <w:rsid w:val="006B2099"/>
    <w:rsid w:val="006B2C7D"/>
    <w:rsid w:val="006B2FD3"/>
    <w:rsid w:val="006B50CF"/>
    <w:rsid w:val="006C03B8"/>
    <w:rsid w:val="006C239C"/>
    <w:rsid w:val="006C356B"/>
    <w:rsid w:val="006C5566"/>
    <w:rsid w:val="006C5EC9"/>
    <w:rsid w:val="006C6059"/>
    <w:rsid w:val="006C6DAD"/>
    <w:rsid w:val="006C7522"/>
    <w:rsid w:val="006D4949"/>
    <w:rsid w:val="006D6C52"/>
    <w:rsid w:val="006D6F08"/>
    <w:rsid w:val="006E062C"/>
    <w:rsid w:val="006E1C82"/>
    <w:rsid w:val="006E28B7"/>
    <w:rsid w:val="006E2A9B"/>
    <w:rsid w:val="006E3310"/>
    <w:rsid w:val="006E39F7"/>
    <w:rsid w:val="006E4E39"/>
    <w:rsid w:val="006E565E"/>
    <w:rsid w:val="006E673D"/>
    <w:rsid w:val="006E7D3B"/>
    <w:rsid w:val="006F1B70"/>
    <w:rsid w:val="006F341D"/>
    <w:rsid w:val="006F3CDE"/>
    <w:rsid w:val="006F58D4"/>
    <w:rsid w:val="006F5AA0"/>
    <w:rsid w:val="006F6582"/>
    <w:rsid w:val="006F72C2"/>
    <w:rsid w:val="006F7E9C"/>
    <w:rsid w:val="0070346E"/>
    <w:rsid w:val="00703D57"/>
    <w:rsid w:val="007046E8"/>
    <w:rsid w:val="00704EDB"/>
    <w:rsid w:val="00705819"/>
    <w:rsid w:val="00705D63"/>
    <w:rsid w:val="00706101"/>
    <w:rsid w:val="00707072"/>
    <w:rsid w:val="00707D61"/>
    <w:rsid w:val="00712287"/>
    <w:rsid w:val="00712772"/>
    <w:rsid w:val="007148D3"/>
    <w:rsid w:val="00715B9A"/>
    <w:rsid w:val="00722312"/>
    <w:rsid w:val="007257D0"/>
    <w:rsid w:val="00726EA6"/>
    <w:rsid w:val="00727208"/>
    <w:rsid w:val="00727680"/>
    <w:rsid w:val="007348B1"/>
    <w:rsid w:val="007355D2"/>
    <w:rsid w:val="007362A6"/>
    <w:rsid w:val="00736D7D"/>
    <w:rsid w:val="00740A15"/>
    <w:rsid w:val="00740E58"/>
    <w:rsid w:val="007445A0"/>
    <w:rsid w:val="0074524B"/>
    <w:rsid w:val="00745CFC"/>
    <w:rsid w:val="00747D8B"/>
    <w:rsid w:val="00751228"/>
    <w:rsid w:val="00751A70"/>
    <w:rsid w:val="00756421"/>
    <w:rsid w:val="007571E1"/>
    <w:rsid w:val="00757A16"/>
    <w:rsid w:val="007604B2"/>
    <w:rsid w:val="007636B1"/>
    <w:rsid w:val="00764173"/>
    <w:rsid w:val="00765281"/>
    <w:rsid w:val="00766BAD"/>
    <w:rsid w:val="00770363"/>
    <w:rsid w:val="007729A2"/>
    <w:rsid w:val="007755F2"/>
    <w:rsid w:val="00776971"/>
    <w:rsid w:val="00780A80"/>
    <w:rsid w:val="0078177E"/>
    <w:rsid w:val="0078304C"/>
    <w:rsid w:val="00783166"/>
    <w:rsid w:val="00783673"/>
    <w:rsid w:val="00785490"/>
    <w:rsid w:val="00791415"/>
    <w:rsid w:val="007925EA"/>
    <w:rsid w:val="00793CD8"/>
    <w:rsid w:val="00795160"/>
    <w:rsid w:val="00795C92"/>
    <w:rsid w:val="00796231"/>
    <w:rsid w:val="007A1CB3"/>
    <w:rsid w:val="007A306F"/>
    <w:rsid w:val="007A43A6"/>
    <w:rsid w:val="007A58A6"/>
    <w:rsid w:val="007A5F65"/>
    <w:rsid w:val="007B1CBF"/>
    <w:rsid w:val="007B3D2D"/>
    <w:rsid w:val="007B50AE"/>
    <w:rsid w:val="007B51DF"/>
    <w:rsid w:val="007B6F68"/>
    <w:rsid w:val="007C028F"/>
    <w:rsid w:val="007C05DD"/>
    <w:rsid w:val="007C3D18"/>
    <w:rsid w:val="007C60BF"/>
    <w:rsid w:val="007C638C"/>
    <w:rsid w:val="007C6A07"/>
    <w:rsid w:val="007C75A1"/>
    <w:rsid w:val="007C77A5"/>
    <w:rsid w:val="007C7E9A"/>
    <w:rsid w:val="007D04E5"/>
    <w:rsid w:val="007D5901"/>
    <w:rsid w:val="007D6D63"/>
    <w:rsid w:val="007D7526"/>
    <w:rsid w:val="007E2CF2"/>
    <w:rsid w:val="007E3023"/>
    <w:rsid w:val="007E4610"/>
    <w:rsid w:val="007E4715"/>
    <w:rsid w:val="007E505B"/>
    <w:rsid w:val="007E7091"/>
    <w:rsid w:val="007F030B"/>
    <w:rsid w:val="007F1AE3"/>
    <w:rsid w:val="008034CA"/>
    <w:rsid w:val="00803DC4"/>
    <w:rsid w:val="00803FAE"/>
    <w:rsid w:val="008046EE"/>
    <w:rsid w:val="0080605F"/>
    <w:rsid w:val="00806BE3"/>
    <w:rsid w:val="00807786"/>
    <w:rsid w:val="00811FCB"/>
    <w:rsid w:val="008158D6"/>
    <w:rsid w:val="00817196"/>
    <w:rsid w:val="008235DB"/>
    <w:rsid w:val="00823A01"/>
    <w:rsid w:val="00824551"/>
    <w:rsid w:val="00824AB4"/>
    <w:rsid w:val="0082529F"/>
    <w:rsid w:val="00825C42"/>
    <w:rsid w:val="00825D25"/>
    <w:rsid w:val="00827D6F"/>
    <w:rsid w:val="00832E73"/>
    <w:rsid w:val="008332D6"/>
    <w:rsid w:val="008376AC"/>
    <w:rsid w:val="00843365"/>
    <w:rsid w:val="008444E8"/>
    <w:rsid w:val="00844981"/>
    <w:rsid w:val="00844E80"/>
    <w:rsid w:val="008461C2"/>
    <w:rsid w:val="00846FE7"/>
    <w:rsid w:val="0084782E"/>
    <w:rsid w:val="00847B62"/>
    <w:rsid w:val="0085643E"/>
    <w:rsid w:val="00856911"/>
    <w:rsid w:val="008677FD"/>
    <w:rsid w:val="008706D4"/>
    <w:rsid w:val="00870F8A"/>
    <w:rsid w:val="0087151E"/>
    <w:rsid w:val="008719A4"/>
    <w:rsid w:val="00871C74"/>
    <w:rsid w:val="00871D23"/>
    <w:rsid w:val="00872065"/>
    <w:rsid w:val="00872070"/>
    <w:rsid w:val="00874312"/>
    <w:rsid w:val="0087437C"/>
    <w:rsid w:val="00875CD7"/>
    <w:rsid w:val="00876B4D"/>
    <w:rsid w:val="00877F18"/>
    <w:rsid w:val="00882983"/>
    <w:rsid w:val="00890C24"/>
    <w:rsid w:val="00893CC1"/>
    <w:rsid w:val="008941E3"/>
    <w:rsid w:val="00894A88"/>
    <w:rsid w:val="00895386"/>
    <w:rsid w:val="008A21FF"/>
    <w:rsid w:val="008A2CE2"/>
    <w:rsid w:val="008A30AC"/>
    <w:rsid w:val="008A44B8"/>
    <w:rsid w:val="008A51A8"/>
    <w:rsid w:val="008A54C7"/>
    <w:rsid w:val="008A771C"/>
    <w:rsid w:val="008A77D8"/>
    <w:rsid w:val="008B0483"/>
    <w:rsid w:val="008B120C"/>
    <w:rsid w:val="008B28E4"/>
    <w:rsid w:val="008B51A0"/>
    <w:rsid w:val="008B592A"/>
    <w:rsid w:val="008B7B5C"/>
    <w:rsid w:val="008C0C99"/>
    <w:rsid w:val="008C2017"/>
    <w:rsid w:val="008C3F80"/>
    <w:rsid w:val="008C4958"/>
    <w:rsid w:val="008C4BAA"/>
    <w:rsid w:val="008C6AE8"/>
    <w:rsid w:val="008C7573"/>
    <w:rsid w:val="008D00A5"/>
    <w:rsid w:val="008D2B7D"/>
    <w:rsid w:val="008D34D4"/>
    <w:rsid w:val="008D34F1"/>
    <w:rsid w:val="008D39D8"/>
    <w:rsid w:val="008D6252"/>
    <w:rsid w:val="008D6D1A"/>
    <w:rsid w:val="008E065E"/>
    <w:rsid w:val="008E0927"/>
    <w:rsid w:val="008E1909"/>
    <w:rsid w:val="008E3F3E"/>
    <w:rsid w:val="008F1EAB"/>
    <w:rsid w:val="008F33DC"/>
    <w:rsid w:val="008F477F"/>
    <w:rsid w:val="00902350"/>
    <w:rsid w:val="0090336B"/>
    <w:rsid w:val="009053AA"/>
    <w:rsid w:val="00906939"/>
    <w:rsid w:val="009108CA"/>
    <w:rsid w:val="00910B7D"/>
    <w:rsid w:val="00911DFB"/>
    <w:rsid w:val="009139D9"/>
    <w:rsid w:val="00914AD8"/>
    <w:rsid w:val="00916079"/>
    <w:rsid w:val="00917CE9"/>
    <w:rsid w:val="00920BF2"/>
    <w:rsid w:val="00922010"/>
    <w:rsid w:val="00931BD9"/>
    <w:rsid w:val="009368F3"/>
    <w:rsid w:val="00941636"/>
    <w:rsid w:val="00943742"/>
    <w:rsid w:val="0094513B"/>
    <w:rsid w:val="00945C05"/>
    <w:rsid w:val="00946945"/>
    <w:rsid w:val="00947713"/>
    <w:rsid w:val="00950DE7"/>
    <w:rsid w:val="00953920"/>
    <w:rsid w:val="00953D47"/>
    <w:rsid w:val="0095533A"/>
    <w:rsid w:val="009557B3"/>
    <w:rsid w:val="0095681E"/>
    <w:rsid w:val="009572D4"/>
    <w:rsid w:val="00961921"/>
    <w:rsid w:val="00962BFE"/>
    <w:rsid w:val="0096430A"/>
    <w:rsid w:val="0096554B"/>
    <w:rsid w:val="0096584A"/>
    <w:rsid w:val="00967A52"/>
    <w:rsid w:val="00971F08"/>
    <w:rsid w:val="0097603D"/>
    <w:rsid w:val="00976949"/>
    <w:rsid w:val="00976FFE"/>
    <w:rsid w:val="00980477"/>
    <w:rsid w:val="00981661"/>
    <w:rsid w:val="00982257"/>
    <w:rsid w:val="00983BB8"/>
    <w:rsid w:val="00984670"/>
    <w:rsid w:val="00985253"/>
    <w:rsid w:val="009853B3"/>
    <w:rsid w:val="00990630"/>
    <w:rsid w:val="00991761"/>
    <w:rsid w:val="00994DCA"/>
    <w:rsid w:val="009960EC"/>
    <w:rsid w:val="009970DD"/>
    <w:rsid w:val="009A0FBA"/>
    <w:rsid w:val="009A1601"/>
    <w:rsid w:val="009A3BB6"/>
    <w:rsid w:val="009A41FC"/>
    <w:rsid w:val="009A462D"/>
    <w:rsid w:val="009A521A"/>
    <w:rsid w:val="009A5CBA"/>
    <w:rsid w:val="009B1F30"/>
    <w:rsid w:val="009B29E1"/>
    <w:rsid w:val="009B3AC2"/>
    <w:rsid w:val="009B4DF4"/>
    <w:rsid w:val="009B564E"/>
    <w:rsid w:val="009B6207"/>
    <w:rsid w:val="009B7E87"/>
    <w:rsid w:val="009C0169"/>
    <w:rsid w:val="009C01A0"/>
    <w:rsid w:val="009C0789"/>
    <w:rsid w:val="009C126F"/>
    <w:rsid w:val="009C403E"/>
    <w:rsid w:val="009C42D4"/>
    <w:rsid w:val="009D4FF0"/>
    <w:rsid w:val="009D703C"/>
    <w:rsid w:val="009D70B7"/>
    <w:rsid w:val="009D718F"/>
    <w:rsid w:val="009D7652"/>
    <w:rsid w:val="009E068F"/>
    <w:rsid w:val="009E14E0"/>
    <w:rsid w:val="009E35DB"/>
    <w:rsid w:val="009E47A3"/>
    <w:rsid w:val="009F06BA"/>
    <w:rsid w:val="009F08F3"/>
    <w:rsid w:val="009F344F"/>
    <w:rsid w:val="00A031D8"/>
    <w:rsid w:val="00A0332E"/>
    <w:rsid w:val="00A03725"/>
    <w:rsid w:val="00A048A8"/>
    <w:rsid w:val="00A04F49"/>
    <w:rsid w:val="00A13AB2"/>
    <w:rsid w:val="00A13E54"/>
    <w:rsid w:val="00A16500"/>
    <w:rsid w:val="00A17F63"/>
    <w:rsid w:val="00A2193B"/>
    <w:rsid w:val="00A2351A"/>
    <w:rsid w:val="00A264A9"/>
    <w:rsid w:val="00A26DCF"/>
    <w:rsid w:val="00A27785"/>
    <w:rsid w:val="00A30187"/>
    <w:rsid w:val="00A3448A"/>
    <w:rsid w:val="00A36297"/>
    <w:rsid w:val="00A41E2B"/>
    <w:rsid w:val="00A45B74"/>
    <w:rsid w:val="00A52E1D"/>
    <w:rsid w:val="00A54CD5"/>
    <w:rsid w:val="00A61499"/>
    <w:rsid w:val="00A62A77"/>
    <w:rsid w:val="00A63483"/>
    <w:rsid w:val="00A657D7"/>
    <w:rsid w:val="00A660AC"/>
    <w:rsid w:val="00A67E6C"/>
    <w:rsid w:val="00A71B99"/>
    <w:rsid w:val="00A71E39"/>
    <w:rsid w:val="00A739D0"/>
    <w:rsid w:val="00A761D4"/>
    <w:rsid w:val="00A77EC4"/>
    <w:rsid w:val="00A815A8"/>
    <w:rsid w:val="00A8423D"/>
    <w:rsid w:val="00A9011C"/>
    <w:rsid w:val="00A92879"/>
    <w:rsid w:val="00A93D76"/>
    <w:rsid w:val="00A94007"/>
    <w:rsid w:val="00A9442A"/>
    <w:rsid w:val="00A9583C"/>
    <w:rsid w:val="00A95AB6"/>
    <w:rsid w:val="00AA016F"/>
    <w:rsid w:val="00AA1ED6"/>
    <w:rsid w:val="00AA51D6"/>
    <w:rsid w:val="00AA63BF"/>
    <w:rsid w:val="00AB0BC8"/>
    <w:rsid w:val="00AB11CA"/>
    <w:rsid w:val="00AB14D9"/>
    <w:rsid w:val="00AB4AB8"/>
    <w:rsid w:val="00AB655E"/>
    <w:rsid w:val="00AC007F"/>
    <w:rsid w:val="00AC2ECD"/>
    <w:rsid w:val="00AC3119"/>
    <w:rsid w:val="00AC49FB"/>
    <w:rsid w:val="00AC5A10"/>
    <w:rsid w:val="00AC5B5D"/>
    <w:rsid w:val="00AD0AA3"/>
    <w:rsid w:val="00AD3F94"/>
    <w:rsid w:val="00AD4A5A"/>
    <w:rsid w:val="00AE27AC"/>
    <w:rsid w:val="00AE40E0"/>
    <w:rsid w:val="00AE4DBA"/>
    <w:rsid w:val="00AE4F07"/>
    <w:rsid w:val="00AF0816"/>
    <w:rsid w:val="00AF085D"/>
    <w:rsid w:val="00AF1C5D"/>
    <w:rsid w:val="00AF42D7"/>
    <w:rsid w:val="00B006FE"/>
    <w:rsid w:val="00B007CB"/>
    <w:rsid w:val="00B00A85"/>
    <w:rsid w:val="00B02AA9"/>
    <w:rsid w:val="00B02FA3"/>
    <w:rsid w:val="00B0382A"/>
    <w:rsid w:val="00B05084"/>
    <w:rsid w:val="00B113EB"/>
    <w:rsid w:val="00B157F9"/>
    <w:rsid w:val="00B20256"/>
    <w:rsid w:val="00B20D09"/>
    <w:rsid w:val="00B21F23"/>
    <w:rsid w:val="00B2763F"/>
    <w:rsid w:val="00B27AAC"/>
    <w:rsid w:val="00B30929"/>
    <w:rsid w:val="00B361BB"/>
    <w:rsid w:val="00B372AA"/>
    <w:rsid w:val="00B40445"/>
    <w:rsid w:val="00B409E0"/>
    <w:rsid w:val="00B41888"/>
    <w:rsid w:val="00B427B9"/>
    <w:rsid w:val="00B45A52"/>
    <w:rsid w:val="00B46175"/>
    <w:rsid w:val="00B46555"/>
    <w:rsid w:val="00B47835"/>
    <w:rsid w:val="00B504A2"/>
    <w:rsid w:val="00B548B7"/>
    <w:rsid w:val="00B6240C"/>
    <w:rsid w:val="00B64679"/>
    <w:rsid w:val="00B664C7"/>
    <w:rsid w:val="00B739F6"/>
    <w:rsid w:val="00B73EEE"/>
    <w:rsid w:val="00B80BE9"/>
    <w:rsid w:val="00B81A6C"/>
    <w:rsid w:val="00B823BD"/>
    <w:rsid w:val="00B84083"/>
    <w:rsid w:val="00B85DE5"/>
    <w:rsid w:val="00B90F73"/>
    <w:rsid w:val="00B91CEB"/>
    <w:rsid w:val="00B93B59"/>
    <w:rsid w:val="00B9406A"/>
    <w:rsid w:val="00BA2280"/>
    <w:rsid w:val="00BA2A08"/>
    <w:rsid w:val="00BA56D2"/>
    <w:rsid w:val="00BA76E0"/>
    <w:rsid w:val="00BB005F"/>
    <w:rsid w:val="00BB2A25"/>
    <w:rsid w:val="00BB51E9"/>
    <w:rsid w:val="00BC0FDC"/>
    <w:rsid w:val="00BC25C6"/>
    <w:rsid w:val="00BC3053"/>
    <w:rsid w:val="00BC4D2E"/>
    <w:rsid w:val="00BD43CB"/>
    <w:rsid w:val="00BD48AC"/>
    <w:rsid w:val="00BD5B5F"/>
    <w:rsid w:val="00BD5F1A"/>
    <w:rsid w:val="00BE1234"/>
    <w:rsid w:val="00BE1ED4"/>
    <w:rsid w:val="00BE2FA6"/>
    <w:rsid w:val="00BE333F"/>
    <w:rsid w:val="00BE7406"/>
    <w:rsid w:val="00BE7603"/>
    <w:rsid w:val="00BF040F"/>
    <w:rsid w:val="00BF3279"/>
    <w:rsid w:val="00BF74C7"/>
    <w:rsid w:val="00C015F1"/>
    <w:rsid w:val="00C01F33"/>
    <w:rsid w:val="00C02CC6"/>
    <w:rsid w:val="00C038EB"/>
    <w:rsid w:val="00C040F7"/>
    <w:rsid w:val="00C044AB"/>
    <w:rsid w:val="00C05706"/>
    <w:rsid w:val="00C06DEE"/>
    <w:rsid w:val="00C07377"/>
    <w:rsid w:val="00C10478"/>
    <w:rsid w:val="00C117BD"/>
    <w:rsid w:val="00C12107"/>
    <w:rsid w:val="00C14D4B"/>
    <w:rsid w:val="00C154BB"/>
    <w:rsid w:val="00C1601A"/>
    <w:rsid w:val="00C21AF5"/>
    <w:rsid w:val="00C22AE3"/>
    <w:rsid w:val="00C24B18"/>
    <w:rsid w:val="00C268E6"/>
    <w:rsid w:val="00C26F9F"/>
    <w:rsid w:val="00C27074"/>
    <w:rsid w:val="00C279B5"/>
    <w:rsid w:val="00C27C45"/>
    <w:rsid w:val="00C30F0F"/>
    <w:rsid w:val="00C34200"/>
    <w:rsid w:val="00C3719D"/>
    <w:rsid w:val="00C372D2"/>
    <w:rsid w:val="00C373CF"/>
    <w:rsid w:val="00C37CB2"/>
    <w:rsid w:val="00C42C47"/>
    <w:rsid w:val="00C473A5"/>
    <w:rsid w:val="00C54995"/>
    <w:rsid w:val="00C54D41"/>
    <w:rsid w:val="00C60783"/>
    <w:rsid w:val="00C62373"/>
    <w:rsid w:val="00C64672"/>
    <w:rsid w:val="00C70697"/>
    <w:rsid w:val="00C72093"/>
    <w:rsid w:val="00C72EF4"/>
    <w:rsid w:val="00C744FE"/>
    <w:rsid w:val="00C75D2F"/>
    <w:rsid w:val="00C767BE"/>
    <w:rsid w:val="00C76E3C"/>
    <w:rsid w:val="00C8106C"/>
    <w:rsid w:val="00C81568"/>
    <w:rsid w:val="00C86B37"/>
    <w:rsid w:val="00C9027A"/>
    <w:rsid w:val="00C9068E"/>
    <w:rsid w:val="00C92DE9"/>
    <w:rsid w:val="00C93814"/>
    <w:rsid w:val="00C93C4B"/>
    <w:rsid w:val="00C944AB"/>
    <w:rsid w:val="00C95B40"/>
    <w:rsid w:val="00C96C09"/>
    <w:rsid w:val="00CA1ED8"/>
    <w:rsid w:val="00CA4650"/>
    <w:rsid w:val="00CA56DB"/>
    <w:rsid w:val="00CB1F63"/>
    <w:rsid w:val="00CB7170"/>
    <w:rsid w:val="00CC040E"/>
    <w:rsid w:val="00CC111F"/>
    <w:rsid w:val="00CC16CF"/>
    <w:rsid w:val="00CC2011"/>
    <w:rsid w:val="00CC2C68"/>
    <w:rsid w:val="00CC3EA0"/>
    <w:rsid w:val="00CC7B45"/>
    <w:rsid w:val="00CD1188"/>
    <w:rsid w:val="00CD2BE9"/>
    <w:rsid w:val="00CD2ED1"/>
    <w:rsid w:val="00CD337B"/>
    <w:rsid w:val="00CE0424"/>
    <w:rsid w:val="00CE2244"/>
    <w:rsid w:val="00CE7561"/>
    <w:rsid w:val="00CF1354"/>
    <w:rsid w:val="00CF3B1F"/>
    <w:rsid w:val="00CF3BF6"/>
    <w:rsid w:val="00CF5BA2"/>
    <w:rsid w:val="00CF625B"/>
    <w:rsid w:val="00CF687E"/>
    <w:rsid w:val="00D03492"/>
    <w:rsid w:val="00D0349B"/>
    <w:rsid w:val="00D10249"/>
    <w:rsid w:val="00D115C3"/>
    <w:rsid w:val="00D11897"/>
    <w:rsid w:val="00D12615"/>
    <w:rsid w:val="00D13135"/>
    <w:rsid w:val="00D13E4E"/>
    <w:rsid w:val="00D15B02"/>
    <w:rsid w:val="00D239A7"/>
    <w:rsid w:val="00D23F47"/>
    <w:rsid w:val="00D26B3C"/>
    <w:rsid w:val="00D273B4"/>
    <w:rsid w:val="00D30AC7"/>
    <w:rsid w:val="00D316D1"/>
    <w:rsid w:val="00D36E71"/>
    <w:rsid w:val="00D37D87"/>
    <w:rsid w:val="00D40B33"/>
    <w:rsid w:val="00D4318F"/>
    <w:rsid w:val="00D438BF"/>
    <w:rsid w:val="00D440F8"/>
    <w:rsid w:val="00D5239A"/>
    <w:rsid w:val="00D546FF"/>
    <w:rsid w:val="00D55AD5"/>
    <w:rsid w:val="00D576CA"/>
    <w:rsid w:val="00D61AF5"/>
    <w:rsid w:val="00D64C02"/>
    <w:rsid w:val="00D652B5"/>
    <w:rsid w:val="00D66155"/>
    <w:rsid w:val="00D70239"/>
    <w:rsid w:val="00D70521"/>
    <w:rsid w:val="00D708B0"/>
    <w:rsid w:val="00D72970"/>
    <w:rsid w:val="00D73263"/>
    <w:rsid w:val="00D75205"/>
    <w:rsid w:val="00D776E1"/>
    <w:rsid w:val="00D77B1D"/>
    <w:rsid w:val="00D8021F"/>
    <w:rsid w:val="00D80383"/>
    <w:rsid w:val="00D823C6"/>
    <w:rsid w:val="00D8327F"/>
    <w:rsid w:val="00D8396B"/>
    <w:rsid w:val="00D86124"/>
    <w:rsid w:val="00D86CA3"/>
    <w:rsid w:val="00D871CE"/>
    <w:rsid w:val="00D87535"/>
    <w:rsid w:val="00D9196D"/>
    <w:rsid w:val="00D92329"/>
    <w:rsid w:val="00D92982"/>
    <w:rsid w:val="00D95317"/>
    <w:rsid w:val="00D96477"/>
    <w:rsid w:val="00D97523"/>
    <w:rsid w:val="00DA1971"/>
    <w:rsid w:val="00DA305E"/>
    <w:rsid w:val="00DA5417"/>
    <w:rsid w:val="00DA56E8"/>
    <w:rsid w:val="00DA654F"/>
    <w:rsid w:val="00DA6F39"/>
    <w:rsid w:val="00DB0A9F"/>
    <w:rsid w:val="00DB377D"/>
    <w:rsid w:val="00DC2401"/>
    <w:rsid w:val="00DC2D36"/>
    <w:rsid w:val="00DC53EF"/>
    <w:rsid w:val="00DC5C96"/>
    <w:rsid w:val="00DD0340"/>
    <w:rsid w:val="00DD2DE6"/>
    <w:rsid w:val="00DD4460"/>
    <w:rsid w:val="00DD5F40"/>
    <w:rsid w:val="00DE1DBA"/>
    <w:rsid w:val="00DE5608"/>
    <w:rsid w:val="00DE58D0"/>
    <w:rsid w:val="00DE61B5"/>
    <w:rsid w:val="00DE654F"/>
    <w:rsid w:val="00DF0B6E"/>
    <w:rsid w:val="00DF15E0"/>
    <w:rsid w:val="00DF37A0"/>
    <w:rsid w:val="00DF4FA2"/>
    <w:rsid w:val="00DF5030"/>
    <w:rsid w:val="00E00D16"/>
    <w:rsid w:val="00E10F3A"/>
    <w:rsid w:val="00E110E7"/>
    <w:rsid w:val="00E11B20"/>
    <w:rsid w:val="00E12664"/>
    <w:rsid w:val="00E134DF"/>
    <w:rsid w:val="00E17FA2"/>
    <w:rsid w:val="00E22330"/>
    <w:rsid w:val="00E2686B"/>
    <w:rsid w:val="00E26E97"/>
    <w:rsid w:val="00E3037A"/>
    <w:rsid w:val="00E30732"/>
    <w:rsid w:val="00E30B5A"/>
    <w:rsid w:val="00E3123D"/>
    <w:rsid w:val="00E31461"/>
    <w:rsid w:val="00E31D43"/>
    <w:rsid w:val="00E32608"/>
    <w:rsid w:val="00E33300"/>
    <w:rsid w:val="00E34188"/>
    <w:rsid w:val="00E34A08"/>
    <w:rsid w:val="00E34B6E"/>
    <w:rsid w:val="00E352EF"/>
    <w:rsid w:val="00E35559"/>
    <w:rsid w:val="00E35746"/>
    <w:rsid w:val="00E3723A"/>
    <w:rsid w:val="00E37860"/>
    <w:rsid w:val="00E37862"/>
    <w:rsid w:val="00E446F1"/>
    <w:rsid w:val="00E46296"/>
    <w:rsid w:val="00E46886"/>
    <w:rsid w:val="00E47AEF"/>
    <w:rsid w:val="00E50EBC"/>
    <w:rsid w:val="00E53A26"/>
    <w:rsid w:val="00E53B75"/>
    <w:rsid w:val="00E54E3B"/>
    <w:rsid w:val="00E57565"/>
    <w:rsid w:val="00E6155A"/>
    <w:rsid w:val="00E620AD"/>
    <w:rsid w:val="00E63838"/>
    <w:rsid w:val="00E64434"/>
    <w:rsid w:val="00E6763B"/>
    <w:rsid w:val="00E67C51"/>
    <w:rsid w:val="00E70729"/>
    <w:rsid w:val="00E72125"/>
    <w:rsid w:val="00E72EFC"/>
    <w:rsid w:val="00E758EC"/>
    <w:rsid w:val="00E80BE9"/>
    <w:rsid w:val="00E81305"/>
    <w:rsid w:val="00E8234C"/>
    <w:rsid w:val="00E83AA9"/>
    <w:rsid w:val="00E85356"/>
    <w:rsid w:val="00E85928"/>
    <w:rsid w:val="00E87822"/>
    <w:rsid w:val="00E90395"/>
    <w:rsid w:val="00E90E49"/>
    <w:rsid w:val="00E917F9"/>
    <w:rsid w:val="00E9291C"/>
    <w:rsid w:val="00E93FFE"/>
    <w:rsid w:val="00E94F8A"/>
    <w:rsid w:val="00EA2379"/>
    <w:rsid w:val="00EA7A41"/>
    <w:rsid w:val="00EB077B"/>
    <w:rsid w:val="00EB1E36"/>
    <w:rsid w:val="00EB2317"/>
    <w:rsid w:val="00EB4EA2"/>
    <w:rsid w:val="00EB5211"/>
    <w:rsid w:val="00EB5A4E"/>
    <w:rsid w:val="00EC0853"/>
    <w:rsid w:val="00EC09FE"/>
    <w:rsid w:val="00EC24D5"/>
    <w:rsid w:val="00EC27C6"/>
    <w:rsid w:val="00EC4207"/>
    <w:rsid w:val="00EC4644"/>
    <w:rsid w:val="00EC5234"/>
    <w:rsid w:val="00EC5653"/>
    <w:rsid w:val="00EC58FF"/>
    <w:rsid w:val="00EC71CE"/>
    <w:rsid w:val="00ED1006"/>
    <w:rsid w:val="00EE5F9C"/>
    <w:rsid w:val="00EF09F7"/>
    <w:rsid w:val="00EF18FE"/>
    <w:rsid w:val="00EF5787"/>
    <w:rsid w:val="00EF60D0"/>
    <w:rsid w:val="00F00373"/>
    <w:rsid w:val="00F0528D"/>
    <w:rsid w:val="00F068F2"/>
    <w:rsid w:val="00F06C67"/>
    <w:rsid w:val="00F06DFD"/>
    <w:rsid w:val="00F071D1"/>
    <w:rsid w:val="00F07533"/>
    <w:rsid w:val="00F07FBF"/>
    <w:rsid w:val="00F10629"/>
    <w:rsid w:val="00F12B0F"/>
    <w:rsid w:val="00F15FA5"/>
    <w:rsid w:val="00F16DCF"/>
    <w:rsid w:val="00F209B7"/>
    <w:rsid w:val="00F20CAB"/>
    <w:rsid w:val="00F20F5C"/>
    <w:rsid w:val="00F2247B"/>
    <w:rsid w:val="00F22FAE"/>
    <w:rsid w:val="00F2376F"/>
    <w:rsid w:val="00F243D8"/>
    <w:rsid w:val="00F24688"/>
    <w:rsid w:val="00F30828"/>
    <w:rsid w:val="00F309F7"/>
    <w:rsid w:val="00F313D6"/>
    <w:rsid w:val="00F36B0F"/>
    <w:rsid w:val="00F40F0C"/>
    <w:rsid w:val="00F425F2"/>
    <w:rsid w:val="00F4766C"/>
    <w:rsid w:val="00F5060E"/>
    <w:rsid w:val="00F507D1"/>
    <w:rsid w:val="00F519CE"/>
    <w:rsid w:val="00F51ADA"/>
    <w:rsid w:val="00F51FBA"/>
    <w:rsid w:val="00F60203"/>
    <w:rsid w:val="00F607C5"/>
    <w:rsid w:val="00F60DEA"/>
    <w:rsid w:val="00F6302A"/>
    <w:rsid w:val="00F63950"/>
    <w:rsid w:val="00F63E9A"/>
    <w:rsid w:val="00F64C2B"/>
    <w:rsid w:val="00F651BE"/>
    <w:rsid w:val="00F66436"/>
    <w:rsid w:val="00F669B6"/>
    <w:rsid w:val="00F67F53"/>
    <w:rsid w:val="00F703BE"/>
    <w:rsid w:val="00F71C0A"/>
    <w:rsid w:val="00F71F69"/>
    <w:rsid w:val="00F72B72"/>
    <w:rsid w:val="00F74BB9"/>
    <w:rsid w:val="00F75582"/>
    <w:rsid w:val="00F76EFA"/>
    <w:rsid w:val="00F804BE"/>
    <w:rsid w:val="00F817CE"/>
    <w:rsid w:val="00F8213A"/>
    <w:rsid w:val="00F83D40"/>
    <w:rsid w:val="00F8456C"/>
    <w:rsid w:val="00F85820"/>
    <w:rsid w:val="00F859D8"/>
    <w:rsid w:val="00F868F5"/>
    <w:rsid w:val="00F9056A"/>
    <w:rsid w:val="00F90F8D"/>
    <w:rsid w:val="00F92782"/>
    <w:rsid w:val="00F93AA9"/>
    <w:rsid w:val="00F96985"/>
    <w:rsid w:val="00F97838"/>
    <w:rsid w:val="00FA0BC1"/>
    <w:rsid w:val="00FA2BB3"/>
    <w:rsid w:val="00FA4C63"/>
    <w:rsid w:val="00FA5AD7"/>
    <w:rsid w:val="00FB1AE1"/>
    <w:rsid w:val="00FB1F28"/>
    <w:rsid w:val="00FB2ED5"/>
    <w:rsid w:val="00FB4C80"/>
    <w:rsid w:val="00FB5AB8"/>
    <w:rsid w:val="00FB6A6A"/>
    <w:rsid w:val="00FC7429"/>
    <w:rsid w:val="00FD07F6"/>
    <w:rsid w:val="00FD1EC8"/>
    <w:rsid w:val="00FD2132"/>
    <w:rsid w:val="00FD3EB7"/>
    <w:rsid w:val="00FD47ED"/>
    <w:rsid w:val="00FD74DB"/>
    <w:rsid w:val="00FD7660"/>
    <w:rsid w:val="00FE0655"/>
    <w:rsid w:val="00FE2351"/>
    <w:rsid w:val="00FE2365"/>
    <w:rsid w:val="00FE37D7"/>
    <w:rsid w:val="00FE4C7B"/>
    <w:rsid w:val="00FE7336"/>
    <w:rsid w:val="00FE787C"/>
    <w:rsid w:val="00FF001B"/>
    <w:rsid w:val="00FF10DD"/>
    <w:rsid w:val="00FF2AAE"/>
    <w:rsid w:val="00FF45A5"/>
    <w:rsid w:val="00FF5247"/>
    <w:rsid w:val="00FF5C91"/>
    <w:rsid w:val="00FF6B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7A16E"/>
  <w15:chartTrackingRefBased/>
  <w15:docId w15:val="{229E7125-EAD1-4703-B03B-F7D83C30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character" w:customStyle="1" w:styleId="normaltextrun">
    <w:name w:val="normaltextrun"/>
    <w:basedOn w:val="DefaultParagraphFont"/>
    <w:rsid w:val="00F20CAB"/>
  </w:style>
  <w:style w:type="character" w:customStyle="1" w:styleId="eop">
    <w:name w:val="eop"/>
    <w:basedOn w:val="DefaultParagraphFont"/>
    <w:rsid w:val="00F20CAB"/>
  </w:style>
  <w:style w:type="paragraph" w:styleId="Revision">
    <w:name w:val="Revision"/>
    <w:hidden/>
    <w:uiPriority w:val="99"/>
    <w:semiHidden/>
    <w:rsid w:val="00C27074"/>
    <w:rPr>
      <w:rFonts w:ascii="Times New Roman" w:hAnsi="Times New Roman"/>
      <w:lang w:eastAsia="ja-JP"/>
    </w:rPr>
  </w:style>
  <w:style w:type="paragraph" w:customStyle="1" w:styleId="Agreement">
    <w:name w:val="Agreement"/>
    <w:basedOn w:val="Normal"/>
    <w:next w:val="Normal"/>
    <w:qFormat/>
    <w:rsid w:val="00FA5AD7"/>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uiPriority w:val="99"/>
    <w:qFormat/>
    <w:rsid w:val="006644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Normal"/>
    <w:next w:val="Doc-text2"/>
    <w:link w:val="Doc-titleChar"/>
    <w:qFormat/>
    <w:rsid w:val="009A41F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A41FC"/>
    <w:rPr>
      <w:rFonts w:ascii="Arial" w:eastAsia="MS Mincho" w:hAnsi="Arial"/>
      <w:noProof/>
      <w:szCs w:val="24"/>
    </w:rPr>
  </w:style>
  <w:style w:type="paragraph" w:customStyle="1" w:styleId="Comments">
    <w:name w:val="Comments"/>
    <w:basedOn w:val="Normal"/>
    <w:link w:val="CommentsChar"/>
    <w:qFormat/>
    <w:rsid w:val="009A41F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9A41FC"/>
    <w:rPr>
      <w:rFonts w:ascii="Arial" w:eastAsia="MS Mincho" w:hAnsi="Arial"/>
      <w:i/>
      <w:noProof/>
      <w:sz w:val="18"/>
      <w:szCs w:val="24"/>
    </w:rPr>
  </w:style>
  <w:style w:type="table" w:customStyle="1" w:styleId="TableGrid1">
    <w:name w:val="Table Grid1"/>
    <w:basedOn w:val="TableNormal"/>
    <w:next w:val="TableGrid"/>
    <w:rsid w:val="00171A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EC58FF"/>
    <w:rPr>
      <w:lang w:eastAsia="en-US"/>
    </w:rPr>
  </w:style>
  <w:style w:type="character" w:customStyle="1" w:styleId="B3Char">
    <w:name w:val="B3 Char"/>
    <w:locked/>
    <w:rsid w:val="00EC58FF"/>
    <w:rPr>
      <w:lang w:eastAsia="en-US"/>
    </w:rPr>
  </w:style>
  <w:style w:type="paragraph" w:styleId="NormalWeb">
    <w:name w:val="Normal (Web)"/>
    <w:basedOn w:val="Normal"/>
    <w:uiPriority w:val="99"/>
    <w:unhideWhenUsed/>
    <w:rsid w:val="00871C74"/>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86553">
      <w:bodyDiv w:val="1"/>
      <w:marLeft w:val="0"/>
      <w:marRight w:val="0"/>
      <w:marTop w:val="0"/>
      <w:marBottom w:val="0"/>
      <w:divBdr>
        <w:top w:val="none" w:sz="0" w:space="0" w:color="auto"/>
        <w:left w:val="none" w:sz="0" w:space="0" w:color="auto"/>
        <w:bottom w:val="none" w:sz="0" w:space="0" w:color="auto"/>
        <w:right w:val="none" w:sz="0" w:space="0" w:color="auto"/>
      </w:divBdr>
    </w:div>
    <w:div w:id="138039402">
      <w:bodyDiv w:val="1"/>
      <w:marLeft w:val="0"/>
      <w:marRight w:val="0"/>
      <w:marTop w:val="0"/>
      <w:marBottom w:val="0"/>
      <w:divBdr>
        <w:top w:val="none" w:sz="0" w:space="0" w:color="auto"/>
        <w:left w:val="none" w:sz="0" w:space="0" w:color="auto"/>
        <w:bottom w:val="none" w:sz="0" w:space="0" w:color="auto"/>
        <w:right w:val="none" w:sz="0" w:space="0" w:color="auto"/>
      </w:divBdr>
    </w:div>
    <w:div w:id="229966359">
      <w:bodyDiv w:val="1"/>
      <w:marLeft w:val="0"/>
      <w:marRight w:val="0"/>
      <w:marTop w:val="0"/>
      <w:marBottom w:val="0"/>
      <w:divBdr>
        <w:top w:val="none" w:sz="0" w:space="0" w:color="auto"/>
        <w:left w:val="none" w:sz="0" w:space="0" w:color="auto"/>
        <w:bottom w:val="none" w:sz="0" w:space="0" w:color="auto"/>
        <w:right w:val="none" w:sz="0" w:space="0" w:color="auto"/>
      </w:divBdr>
    </w:div>
    <w:div w:id="255985749">
      <w:bodyDiv w:val="1"/>
      <w:marLeft w:val="0"/>
      <w:marRight w:val="0"/>
      <w:marTop w:val="0"/>
      <w:marBottom w:val="0"/>
      <w:divBdr>
        <w:top w:val="none" w:sz="0" w:space="0" w:color="auto"/>
        <w:left w:val="none" w:sz="0" w:space="0" w:color="auto"/>
        <w:bottom w:val="none" w:sz="0" w:space="0" w:color="auto"/>
        <w:right w:val="none" w:sz="0" w:space="0" w:color="auto"/>
      </w:divBdr>
    </w:div>
    <w:div w:id="311058229">
      <w:bodyDiv w:val="1"/>
      <w:marLeft w:val="0"/>
      <w:marRight w:val="0"/>
      <w:marTop w:val="0"/>
      <w:marBottom w:val="0"/>
      <w:divBdr>
        <w:top w:val="none" w:sz="0" w:space="0" w:color="auto"/>
        <w:left w:val="none" w:sz="0" w:space="0" w:color="auto"/>
        <w:bottom w:val="none" w:sz="0" w:space="0" w:color="auto"/>
        <w:right w:val="none" w:sz="0" w:space="0" w:color="auto"/>
      </w:divBdr>
    </w:div>
    <w:div w:id="326829134">
      <w:bodyDiv w:val="1"/>
      <w:marLeft w:val="0"/>
      <w:marRight w:val="0"/>
      <w:marTop w:val="0"/>
      <w:marBottom w:val="0"/>
      <w:divBdr>
        <w:top w:val="none" w:sz="0" w:space="0" w:color="auto"/>
        <w:left w:val="none" w:sz="0" w:space="0" w:color="auto"/>
        <w:bottom w:val="none" w:sz="0" w:space="0" w:color="auto"/>
        <w:right w:val="none" w:sz="0" w:space="0" w:color="auto"/>
      </w:divBdr>
    </w:div>
    <w:div w:id="661659041">
      <w:bodyDiv w:val="1"/>
      <w:marLeft w:val="0"/>
      <w:marRight w:val="0"/>
      <w:marTop w:val="0"/>
      <w:marBottom w:val="0"/>
      <w:divBdr>
        <w:top w:val="none" w:sz="0" w:space="0" w:color="auto"/>
        <w:left w:val="none" w:sz="0" w:space="0" w:color="auto"/>
        <w:bottom w:val="none" w:sz="0" w:space="0" w:color="auto"/>
        <w:right w:val="none" w:sz="0" w:space="0" w:color="auto"/>
      </w:divBdr>
    </w:div>
    <w:div w:id="683357865">
      <w:bodyDiv w:val="1"/>
      <w:marLeft w:val="0"/>
      <w:marRight w:val="0"/>
      <w:marTop w:val="0"/>
      <w:marBottom w:val="0"/>
      <w:divBdr>
        <w:top w:val="none" w:sz="0" w:space="0" w:color="auto"/>
        <w:left w:val="none" w:sz="0" w:space="0" w:color="auto"/>
        <w:bottom w:val="none" w:sz="0" w:space="0" w:color="auto"/>
        <w:right w:val="none" w:sz="0" w:space="0" w:color="auto"/>
      </w:divBdr>
    </w:div>
    <w:div w:id="842209747">
      <w:bodyDiv w:val="1"/>
      <w:marLeft w:val="0"/>
      <w:marRight w:val="0"/>
      <w:marTop w:val="0"/>
      <w:marBottom w:val="0"/>
      <w:divBdr>
        <w:top w:val="none" w:sz="0" w:space="0" w:color="auto"/>
        <w:left w:val="none" w:sz="0" w:space="0" w:color="auto"/>
        <w:bottom w:val="none" w:sz="0" w:space="0" w:color="auto"/>
        <w:right w:val="none" w:sz="0" w:space="0" w:color="auto"/>
      </w:divBdr>
    </w:div>
    <w:div w:id="1073895785">
      <w:bodyDiv w:val="1"/>
      <w:marLeft w:val="0"/>
      <w:marRight w:val="0"/>
      <w:marTop w:val="0"/>
      <w:marBottom w:val="0"/>
      <w:divBdr>
        <w:top w:val="none" w:sz="0" w:space="0" w:color="auto"/>
        <w:left w:val="none" w:sz="0" w:space="0" w:color="auto"/>
        <w:bottom w:val="none" w:sz="0" w:space="0" w:color="auto"/>
        <w:right w:val="none" w:sz="0" w:space="0" w:color="auto"/>
      </w:divBdr>
    </w:div>
    <w:div w:id="1103186030">
      <w:bodyDiv w:val="1"/>
      <w:marLeft w:val="0"/>
      <w:marRight w:val="0"/>
      <w:marTop w:val="0"/>
      <w:marBottom w:val="0"/>
      <w:divBdr>
        <w:top w:val="none" w:sz="0" w:space="0" w:color="auto"/>
        <w:left w:val="none" w:sz="0" w:space="0" w:color="auto"/>
        <w:bottom w:val="none" w:sz="0" w:space="0" w:color="auto"/>
        <w:right w:val="none" w:sz="0" w:space="0" w:color="auto"/>
      </w:divBdr>
    </w:div>
    <w:div w:id="1149590897">
      <w:bodyDiv w:val="1"/>
      <w:marLeft w:val="0"/>
      <w:marRight w:val="0"/>
      <w:marTop w:val="0"/>
      <w:marBottom w:val="0"/>
      <w:divBdr>
        <w:top w:val="none" w:sz="0" w:space="0" w:color="auto"/>
        <w:left w:val="none" w:sz="0" w:space="0" w:color="auto"/>
        <w:bottom w:val="none" w:sz="0" w:space="0" w:color="auto"/>
        <w:right w:val="none" w:sz="0" w:space="0" w:color="auto"/>
      </w:divBdr>
      <w:divsChild>
        <w:div w:id="525825548">
          <w:marLeft w:val="0"/>
          <w:marRight w:val="0"/>
          <w:marTop w:val="0"/>
          <w:marBottom w:val="0"/>
          <w:divBdr>
            <w:top w:val="none" w:sz="0" w:space="0" w:color="auto"/>
            <w:left w:val="none" w:sz="0" w:space="0" w:color="auto"/>
            <w:bottom w:val="none" w:sz="0" w:space="0" w:color="auto"/>
            <w:right w:val="none" w:sz="0" w:space="0" w:color="auto"/>
          </w:divBdr>
        </w:div>
      </w:divsChild>
    </w:div>
    <w:div w:id="1185829103">
      <w:bodyDiv w:val="1"/>
      <w:marLeft w:val="0"/>
      <w:marRight w:val="0"/>
      <w:marTop w:val="0"/>
      <w:marBottom w:val="0"/>
      <w:divBdr>
        <w:top w:val="none" w:sz="0" w:space="0" w:color="auto"/>
        <w:left w:val="none" w:sz="0" w:space="0" w:color="auto"/>
        <w:bottom w:val="none" w:sz="0" w:space="0" w:color="auto"/>
        <w:right w:val="none" w:sz="0" w:space="0" w:color="auto"/>
      </w:divBdr>
    </w:div>
    <w:div w:id="1358967493">
      <w:bodyDiv w:val="1"/>
      <w:marLeft w:val="0"/>
      <w:marRight w:val="0"/>
      <w:marTop w:val="0"/>
      <w:marBottom w:val="0"/>
      <w:divBdr>
        <w:top w:val="none" w:sz="0" w:space="0" w:color="auto"/>
        <w:left w:val="none" w:sz="0" w:space="0" w:color="auto"/>
        <w:bottom w:val="none" w:sz="0" w:space="0" w:color="auto"/>
        <w:right w:val="none" w:sz="0" w:space="0" w:color="auto"/>
      </w:divBdr>
    </w:div>
    <w:div w:id="1466507102">
      <w:bodyDiv w:val="1"/>
      <w:marLeft w:val="0"/>
      <w:marRight w:val="0"/>
      <w:marTop w:val="0"/>
      <w:marBottom w:val="0"/>
      <w:divBdr>
        <w:top w:val="none" w:sz="0" w:space="0" w:color="auto"/>
        <w:left w:val="none" w:sz="0" w:space="0" w:color="auto"/>
        <w:bottom w:val="none" w:sz="0" w:space="0" w:color="auto"/>
        <w:right w:val="none" w:sz="0" w:space="0" w:color="auto"/>
      </w:divBdr>
    </w:div>
    <w:div w:id="1595476555">
      <w:bodyDiv w:val="1"/>
      <w:marLeft w:val="0"/>
      <w:marRight w:val="0"/>
      <w:marTop w:val="0"/>
      <w:marBottom w:val="0"/>
      <w:divBdr>
        <w:top w:val="none" w:sz="0" w:space="0" w:color="auto"/>
        <w:left w:val="none" w:sz="0" w:space="0" w:color="auto"/>
        <w:bottom w:val="none" w:sz="0" w:space="0" w:color="auto"/>
        <w:right w:val="none" w:sz="0" w:space="0" w:color="auto"/>
      </w:divBdr>
    </w:div>
    <w:div w:id="1641499079">
      <w:bodyDiv w:val="1"/>
      <w:marLeft w:val="0"/>
      <w:marRight w:val="0"/>
      <w:marTop w:val="0"/>
      <w:marBottom w:val="0"/>
      <w:divBdr>
        <w:top w:val="none" w:sz="0" w:space="0" w:color="auto"/>
        <w:left w:val="none" w:sz="0" w:space="0" w:color="auto"/>
        <w:bottom w:val="none" w:sz="0" w:space="0" w:color="auto"/>
        <w:right w:val="none" w:sz="0" w:space="0" w:color="auto"/>
      </w:divBdr>
    </w:div>
    <w:div w:id="1772236732">
      <w:bodyDiv w:val="1"/>
      <w:marLeft w:val="0"/>
      <w:marRight w:val="0"/>
      <w:marTop w:val="0"/>
      <w:marBottom w:val="0"/>
      <w:divBdr>
        <w:top w:val="none" w:sz="0" w:space="0" w:color="auto"/>
        <w:left w:val="none" w:sz="0" w:space="0" w:color="auto"/>
        <w:bottom w:val="none" w:sz="0" w:space="0" w:color="auto"/>
        <w:right w:val="none" w:sz="0" w:space="0" w:color="auto"/>
      </w:divBdr>
    </w:div>
    <w:div w:id="1783570824">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37012D-4408-45BF-85E9-5754FFD38AEC}">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30784D8-7124-4CAB-886A-37E3D64FE1A8}"/>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47</TotalTime>
  <Pages>3</Pages>
  <Words>852</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5459</CharactersWithSpaces>
  <SharedDoc>false</SharedDoc>
  <HLinks>
    <vt:vector size="36" baseType="variant">
      <vt:variant>
        <vt:i4>1310779</vt:i4>
      </vt:variant>
      <vt:variant>
        <vt:i4>26</vt:i4>
      </vt:variant>
      <vt:variant>
        <vt:i4>0</vt:i4>
      </vt:variant>
      <vt:variant>
        <vt:i4>5</vt:i4>
      </vt:variant>
      <vt:variant>
        <vt:lpwstr/>
      </vt:variant>
      <vt:variant>
        <vt:lpwstr>_Toc66985815</vt:lpwstr>
      </vt:variant>
      <vt:variant>
        <vt:i4>1376315</vt:i4>
      </vt:variant>
      <vt:variant>
        <vt:i4>23</vt:i4>
      </vt:variant>
      <vt:variant>
        <vt:i4>0</vt:i4>
      </vt:variant>
      <vt:variant>
        <vt:i4>5</vt:i4>
      </vt:variant>
      <vt:variant>
        <vt:lpwstr/>
      </vt:variant>
      <vt:variant>
        <vt:lpwstr>_Toc66985814</vt:lpwstr>
      </vt:variant>
      <vt:variant>
        <vt:i4>1179707</vt:i4>
      </vt:variant>
      <vt:variant>
        <vt:i4>20</vt:i4>
      </vt:variant>
      <vt:variant>
        <vt:i4>0</vt:i4>
      </vt:variant>
      <vt:variant>
        <vt:i4>5</vt:i4>
      </vt:variant>
      <vt:variant>
        <vt:lpwstr/>
      </vt:variant>
      <vt:variant>
        <vt:lpwstr>_Toc66985813</vt:lpwstr>
      </vt:variant>
      <vt:variant>
        <vt:i4>1441851</vt:i4>
      </vt:variant>
      <vt:variant>
        <vt:i4>14</vt:i4>
      </vt:variant>
      <vt:variant>
        <vt:i4>0</vt:i4>
      </vt:variant>
      <vt:variant>
        <vt:i4>5</vt:i4>
      </vt:variant>
      <vt:variant>
        <vt:lpwstr/>
      </vt:variant>
      <vt:variant>
        <vt:lpwstr>_Toc66985817</vt:lpwstr>
      </vt:variant>
      <vt:variant>
        <vt:i4>1507387</vt:i4>
      </vt:variant>
      <vt:variant>
        <vt:i4>11</vt:i4>
      </vt:variant>
      <vt:variant>
        <vt:i4>0</vt:i4>
      </vt:variant>
      <vt:variant>
        <vt:i4>5</vt:i4>
      </vt:variant>
      <vt:variant>
        <vt:lpwstr/>
      </vt:variant>
      <vt:variant>
        <vt:lpwstr>_Toc66985816</vt:lpwstr>
      </vt:variant>
      <vt:variant>
        <vt:i4>1310782</vt:i4>
      </vt:variant>
      <vt:variant>
        <vt:i4>5</vt:i4>
      </vt:variant>
      <vt:variant>
        <vt:i4>0</vt:i4>
      </vt:variant>
      <vt:variant>
        <vt:i4>5</vt:i4>
      </vt:variant>
      <vt:variant>
        <vt:lpwstr/>
      </vt:variant>
      <vt:variant>
        <vt:lpwstr>_Toc46845071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15</cp:revision>
  <cp:lastPrinted>2008-01-31T16:09:00Z</cp:lastPrinted>
  <dcterms:created xsi:type="dcterms:W3CDTF">2021-10-21T18:01:00Z</dcterms:created>
  <dcterms:modified xsi:type="dcterms:W3CDTF">2022-01-11T11:50:00Z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